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1AF0" w14:textId="77777777" w:rsidR="00762938" w:rsidRDefault="00762938" w:rsidP="00A15687">
      <w:pPr>
        <w:rPr>
          <w:rFonts w:ascii="Calibri" w:hAnsi="Calibri"/>
          <w:b/>
          <w:color w:val="000000" w:themeColor="text1"/>
          <w:sz w:val="24"/>
          <w:szCs w:val="24"/>
        </w:rPr>
      </w:pPr>
    </w:p>
    <w:p w14:paraId="7E15C13E" w14:textId="48033A1C" w:rsidR="002069D1" w:rsidRPr="00A15687" w:rsidRDefault="00307D1C" w:rsidP="00A15687">
      <w:pPr>
        <w:rPr>
          <w:rFonts w:ascii="Calibri" w:hAnsi="Calibri"/>
          <w:b/>
          <w:color w:val="000000" w:themeColor="text1"/>
          <w:sz w:val="24"/>
          <w:szCs w:val="24"/>
        </w:rPr>
      </w:pPr>
      <w:r w:rsidRPr="00A15687">
        <w:rPr>
          <w:rFonts w:ascii="Calibri" w:hAnsi="Calibri"/>
          <w:b/>
          <w:color w:val="000000" w:themeColor="text1"/>
          <w:sz w:val="24"/>
          <w:szCs w:val="24"/>
        </w:rPr>
        <w:t>G</w:t>
      </w:r>
      <w:r w:rsidR="00A15687" w:rsidRPr="00A15687">
        <w:rPr>
          <w:rFonts w:ascii="Calibri" w:hAnsi="Calibri"/>
          <w:b/>
          <w:color w:val="000000" w:themeColor="text1"/>
          <w:sz w:val="24"/>
          <w:szCs w:val="24"/>
        </w:rPr>
        <w:t xml:space="preserve">ME Guidelines for Annual </w:t>
      </w:r>
      <w:r w:rsidR="00A15687" w:rsidRPr="00A15687">
        <w:rPr>
          <w:rFonts w:ascii="Calibri" w:hAnsi="Calibri"/>
          <w:b/>
          <w:color w:val="000000" w:themeColor="text1"/>
          <w:sz w:val="24"/>
          <w:szCs w:val="24"/>
          <w:u w:val="single"/>
        </w:rPr>
        <w:t>Program</w:t>
      </w:r>
      <w:r w:rsidR="00A15687" w:rsidRPr="00A15687">
        <w:rPr>
          <w:rFonts w:ascii="Calibri" w:hAnsi="Calibri"/>
          <w:b/>
          <w:color w:val="000000" w:themeColor="text1"/>
          <w:sz w:val="24"/>
          <w:szCs w:val="24"/>
        </w:rPr>
        <w:t xml:space="preserve"> Evaluations (APEs)</w:t>
      </w:r>
    </w:p>
    <w:p w14:paraId="4CE40209" w14:textId="77777777" w:rsidR="00A15687" w:rsidRPr="00B052A3" w:rsidRDefault="00A15687" w:rsidP="00A15687">
      <w:pPr>
        <w:spacing w:after="0" w:line="240" w:lineRule="auto"/>
        <w:rPr>
          <w:sz w:val="24"/>
          <w:szCs w:val="24"/>
        </w:rPr>
      </w:pPr>
      <w:r w:rsidRPr="00B052A3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Purpose: </w:t>
      </w:r>
      <w:r w:rsidRPr="00B052A3">
        <w:rPr>
          <w:sz w:val="24"/>
          <w:szCs w:val="24"/>
        </w:rPr>
        <w:t xml:space="preserve">The program director must appoint the Program Evaluation Committee (PEC) to conduct and document the Annual Program Evaluation (APE) as part of the program’s continuous improvement process. </w:t>
      </w:r>
    </w:p>
    <w:p w14:paraId="1F16690F" w14:textId="633AC217" w:rsidR="00A15687" w:rsidRPr="00B052A3" w:rsidRDefault="00A15687" w:rsidP="00A15687">
      <w:pPr>
        <w:spacing w:after="0" w:line="240" w:lineRule="auto"/>
        <w:rPr>
          <w:b/>
          <w:bCs/>
          <w:i/>
          <w:iCs/>
          <w:sz w:val="18"/>
          <w:szCs w:val="18"/>
        </w:rPr>
      </w:pPr>
      <w:r w:rsidRPr="00B052A3">
        <w:rPr>
          <w:b/>
          <w:bCs/>
          <w:i/>
          <w:iCs/>
          <w:sz w:val="18"/>
          <w:szCs w:val="18"/>
        </w:rPr>
        <w:t>ACGME Common Program Requirement 5.5.</w:t>
      </w:r>
    </w:p>
    <w:p w14:paraId="6034C72B" w14:textId="63C99C27" w:rsidR="00A15687" w:rsidRDefault="00A15687" w:rsidP="00A15687">
      <w:pPr>
        <w:spacing w:after="0" w:line="240" w:lineRule="auto"/>
        <w:rPr>
          <w:i/>
          <w:iCs/>
          <w:sz w:val="16"/>
          <w:szCs w:val="16"/>
        </w:rPr>
      </w:pPr>
    </w:p>
    <w:p w14:paraId="0FF8ED65" w14:textId="5BE7BDCF" w:rsidR="00A15687" w:rsidRPr="00B052A3" w:rsidRDefault="00A15687" w:rsidP="00A15687">
      <w:pPr>
        <w:spacing w:after="0" w:line="240" w:lineRule="auto"/>
        <w:rPr>
          <w:bCs/>
          <w:sz w:val="24"/>
          <w:szCs w:val="24"/>
        </w:rPr>
      </w:pPr>
      <w:r w:rsidRPr="00B052A3">
        <w:rPr>
          <w:rFonts w:ascii="Calibri" w:hAnsi="Calibri"/>
          <w:b/>
          <w:color w:val="000000" w:themeColor="text1"/>
          <w:sz w:val="24"/>
          <w:szCs w:val="24"/>
          <w:u w:val="single"/>
        </w:rPr>
        <w:t>Program Evaluation Committee</w:t>
      </w:r>
      <w:r w:rsidRPr="00B052A3">
        <w:rPr>
          <w:b/>
          <w:sz w:val="24"/>
          <w:szCs w:val="24"/>
        </w:rPr>
        <w:t xml:space="preserve">:  </w:t>
      </w:r>
      <w:r w:rsidRPr="00B052A3">
        <w:rPr>
          <w:sz w:val="24"/>
          <w:szCs w:val="24"/>
        </w:rPr>
        <w:t>The Program Evaluation Committee must be composed of at least two program faculty members, at least one of whom is a core faculty member, and at least one resident.</w:t>
      </w:r>
    </w:p>
    <w:p w14:paraId="16F30DE2" w14:textId="056850BA" w:rsidR="00472FE9" w:rsidRPr="00B052A3" w:rsidRDefault="00A15687" w:rsidP="00A15687">
      <w:pPr>
        <w:spacing w:after="0" w:line="240" w:lineRule="auto"/>
        <w:rPr>
          <w:b/>
          <w:bCs/>
          <w:i/>
          <w:iCs/>
          <w:sz w:val="18"/>
          <w:szCs w:val="18"/>
        </w:rPr>
      </w:pPr>
      <w:r w:rsidRPr="00B052A3">
        <w:rPr>
          <w:b/>
          <w:bCs/>
          <w:i/>
          <w:iCs/>
          <w:sz w:val="18"/>
          <w:szCs w:val="18"/>
        </w:rPr>
        <w:t>ACGME Common Program Requirement 5.5.a.</w:t>
      </w:r>
    </w:p>
    <w:p w14:paraId="487874B6" w14:textId="19ED2D44" w:rsidR="00A15687" w:rsidRPr="00B052A3" w:rsidRDefault="00A15687" w:rsidP="00A15687">
      <w:pPr>
        <w:spacing w:after="0" w:line="240" w:lineRule="auto"/>
        <w:rPr>
          <w:rFonts w:ascii="Calibri" w:hAnsi="Calibri"/>
          <w:bCs/>
          <w:color w:val="000000" w:themeColor="text1"/>
          <w:sz w:val="16"/>
          <w:szCs w:val="16"/>
        </w:rPr>
      </w:pPr>
    </w:p>
    <w:p w14:paraId="00F38976" w14:textId="4A6FD8BB" w:rsidR="00FA1392" w:rsidRPr="00397181" w:rsidRDefault="00FA1392" w:rsidP="00FA1392">
      <w:pPr>
        <w:tabs>
          <w:tab w:val="left" w:pos="7965"/>
        </w:tabs>
        <w:rPr>
          <w:i/>
          <w:iCs/>
          <w:color w:val="FF0000"/>
        </w:rPr>
      </w:pPr>
      <w:r w:rsidRPr="00397181">
        <w:rPr>
          <w:i/>
          <w:iCs/>
          <w:color w:val="FF0000"/>
        </w:rPr>
        <w:t>*Please review your specialt</w:t>
      </w:r>
      <w:r w:rsidR="00397181">
        <w:rPr>
          <w:i/>
          <w:iCs/>
          <w:color w:val="FF0000"/>
        </w:rPr>
        <w:t>y specific</w:t>
      </w:r>
      <w:r w:rsidRPr="00397181">
        <w:rPr>
          <w:i/>
          <w:iCs/>
          <w:color w:val="FF0000"/>
        </w:rPr>
        <w:t xml:space="preserve"> program requirements</w:t>
      </w:r>
      <w:r w:rsidR="00397181">
        <w:rPr>
          <w:i/>
          <w:iCs/>
          <w:color w:val="FF0000"/>
        </w:rPr>
        <w:t xml:space="preserve"> for additional reference.</w:t>
      </w:r>
    </w:p>
    <w:p w14:paraId="430D3600" w14:textId="37A13697" w:rsidR="00A15687" w:rsidRPr="00B052A3" w:rsidRDefault="00A15687" w:rsidP="00A15687">
      <w:pPr>
        <w:spacing w:after="0" w:line="240" w:lineRule="auto"/>
        <w:rPr>
          <w:rFonts w:ascii="Calibri" w:hAnsi="Calibri"/>
          <w:bCs/>
          <w:color w:val="000000" w:themeColor="text1"/>
          <w:sz w:val="24"/>
          <w:szCs w:val="24"/>
        </w:rPr>
      </w:pPr>
      <w:r w:rsidRPr="00B052A3">
        <w:rPr>
          <w:rFonts w:ascii="Calibri" w:hAnsi="Calibri"/>
          <w:bCs/>
          <w:color w:val="000000" w:themeColor="text1"/>
          <w:sz w:val="24"/>
          <w:szCs w:val="24"/>
        </w:rPr>
        <w:t>Per ACG</w:t>
      </w:r>
      <w:r w:rsidR="004E0F0D" w:rsidRPr="00B052A3">
        <w:rPr>
          <w:rFonts w:ascii="Calibri" w:hAnsi="Calibri"/>
          <w:bCs/>
          <w:color w:val="000000" w:themeColor="text1"/>
          <w:sz w:val="24"/>
          <w:szCs w:val="24"/>
        </w:rPr>
        <w:t xml:space="preserve">ME Common Program Requirements (CPR) the following must be included in the Annual Program Evaluation (APE) conducted by the Program Evaluation Committee (PEC).  </w:t>
      </w:r>
    </w:p>
    <w:p w14:paraId="4DFA220B" w14:textId="77777777" w:rsidR="00A15687" w:rsidRPr="00B052A3" w:rsidRDefault="00A15687" w:rsidP="00A15687">
      <w:pPr>
        <w:spacing w:after="0" w:line="240" w:lineRule="auto"/>
        <w:rPr>
          <w:rFonts w:ascii="Calibri" w:hAnsi="Calibri"/>
          <w:bCs/>
          <w:color w:val="000000" w:themeColor="text1"/>
          <w:sz w:val="24"/>
          <w:szCs w:val="24"/>
        </w:rPr>
      </w:pPr>
    </w:p>
    <w:p w14:paraId="7CDB6C2E" w14:textId="49A6EDCC" w:rsidR="003A6737" w:rsidRPr="00B052A3" w:rsidRDefault="003A6737" w:rsidP="007030A5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4"/>
          <w:szCs w:val="24"/>
        </w:rPr>
      </w:pPr>
      <w:r w:rsidRPr="00B052A3">
        <w:rPr>
          <w:bCs/>
          <w:sz w:val="24"/>
          <w:szCs w:val="24"/>
        </w:rPr>
        <w:t>P</w:t>
      </w:r>
      <w:r w:rsidR="004E0F0D" w:rsidRPr="00B052A3">
        <w:rPr>
          <w:bCs/>
          <w:sz w:val="24"/>
          <w:szCs w:val="24"/>
        </w:rPr>
        <w:t>EC review of</w:t>
      </w:r>
      <w:r w:rsidR="004E0F0D" w:rsidRPr="00B052A3">
        <w:rPr>
          <w:sz w:val="24"/>
          <w:szCs w:val="24"/>
        </w:rPr>
        <w:t xml:space="preserve"> the program’s self-determined goals and progress toward meeting them. (CPR 5.5b.) </w:t>
      </w:r>
    </w:p>
    <w:p w14:paraId="24E192D2" w14:textId="77777777" w:rsidR="00301832" w:rsidRPr="00B052A3" w:rsidRDefault="00301832" w:rsidP="00301832">
      <w:pPr>
        <w:pStyle w:val="ListParagraph"/>
        <w:spacing w:after="0" w:line="240" w:lineRule="auto"/>
        <w:rPr>
          <w:bCs/>
          <w:sz w:val="24"/>
          <w:szCs w:val="24"/>
        </w:rPr>
      </w:pPr>
    </w:p>
    <w:p w14:paraId="1082AE73" w14:textId="4C8E445E" w:rsidR="004E0F0D" w:rsidRPr="00B81CCA" w:rsidRDefault="004E0F0D" w:rsidP="007030A5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4"/>
          <w:szCs w:val="24"/>
        </w:rPr>
      </w:pPr>
      <w:r w:rsidRPr="00B052A3">
        <w:rPr>
          <w:bCs/>
          <w:sz w:val="24"/>
          <w:szCs w:val="24"/>
        </w:rPr>
        <w:t xml:space="preserve">PEC responsibilities include </w:t>
      </w:r>
      <w:r w:rsidRPr="00B052A3">
        <w:rPr>
          <w:sz w:val="24"/>
          <w:szCs w:val="24"/>
        </w:rPr>
        <w:t xml:space="preserve">guiding ongoing program improvement, including development of new goals, based upon outcomes. (CPR 5.5c.) </w:t>
      </w:r>
    </w:p>
    <w:p w14:paraId="56A72CB0" w14:textId="77777777" w:rsidR="00B81CCA" w:rsidRPr="00B81CCA" w:rsidRDefault="00B81CCA" w:rsidP="00B81CCA">
      <w:pPr>
        <w:pStyle w:val="ListParagraph"/>
        <w:rPr>
          <w:bCs/>
          <w:sz w:val="24"/>
          <w:szCs w:val="24"/>
        </w:rPr>
      </w:pPr>
    </w:p>
    <w:p w14:paraId="22817E80" w14:textId="77777777" w:rsidR="00B81CCA" w:rsidRPr="00B052A3" w:rsidRDefault="00B81CCA" w:rsidP="00B81CCA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PEC</w:t>
      </w:r>
      <w:r w:rsidRPr="00B052A3">
        <w:rPr>
          <w:sz w:val="24"/>
          <w:szCs w:val="24"/>
        </w:rPr>
        <w:t xml:space="preserve"> responsibilities must include review of the current operating environment to identify strengths, challenges, opportunities, and threats as related to the program’s mission and aims. (CPR 5.5d.)</w:t>
      </w:r>
    </w:p>
    <w:p w14:paraId="59FD5D10" w14:textId="77777777" w:rsidR="00483A37" w:rsidRPr="00B052A3" w:rsidRDefault="00483A37" w:rsidP="00483A37">
      <w:pPr>
        <w:pStyle w:val="ListParagraph"/>
        <w:rPr>
          <w:bCs/>
          <w:sz w:val="24"/>
          <w:szCs w:val="24"/>
        </w:rPr>
      </w:pPr>
    </w:p>
    <w:p w14:paraId="4C0CDC5E" w14:textId="77777777" w:rsidR="008403CB" w:rsidRPr="00B052A3" w:rsidRDefault="008403CB" w:rsidP="008403CB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4"/>
          <w:szCs w:val="24"/>
        </w:rPr>
      </w:pPr>
      <w:r w:rsidRPr="00B052A3">
        <w:rPr>
          <w:sz w:val="24"/>
          <w:szCs w:val="24"/>
        </w:rPr>
        <w:t xml:space="preserve">The </w:t>
      </w:r>
      <w:r>
        <w:rPr>
          <w:sz w:val="24"/>
          <w:szCs w:val="24"/>
        </w:rPr>
        <w:t>PEC</w:t>
      </w:r>
      <w:r w:rsidRPr="00B052A3">
        <w:rPr>
          <w:sz w:val="24"/>
          <w:szCs w:val="24"/>
        </w:rPr>
        <w:t xml:space="preserve"> should consider the outcomes from prior Annual Program Evaluation(s), aggregate resident and faculty written evaluations of the program, and other relevant data in its assessment of the program. (CPR 5.5e.)</w:t>
      </w:r>
    </w:p>
    <w:p w14:paraId="0523191F" w14:textId="77777777" w:rsidR="008403CB" w:rsidRPr="008403CB" w:rsidRDefault="008403CB" w:rsidP="00B81CCA">
      <w:pPr>
        <w:pStyle w:val="ListParagraph"/>
        <w:spacing w:after="0" w:line="240" w:lineRule="auto"/>
        <w:rPr>
          <w:bCs/>
          <w:sz w:val="24"/>
          <w:szCs w:val="24"/>
        </w:rPr>
      </w:pPr>
    </w:p>
    <w:p w14:paraId="208B039F" w14:textId="646E9B5F" w:rsidR="004E0F0D" w:rsidRPr="00B052A3" w:rsidRDefault="004E0F0D" w:rsidP="007030A5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4"/>
          <w:szCs w:val="24"/>
        </w:rPr>
      </w:pPr>
      <w:r w:rsidRPr="00B052A3">
        <w:rPr>
          <w:sz w:val="24"/>
          <w:szCs w:val="24"/>
        </w:rPr>
        <w:t xml:space="preserve">The </w:t>
      </w:r>
      <w:r w:rsidR="00B052A3">
        <w:rPr>
          <w:sz w:val="24"/>
          <w:szCs w:val="24"/>
        </w:rPr>
        <w:t>PEC</w:t>
      </w:r>
      <w:r w:rsidRPr="00B052A3">
        <w:rPr>
          <w:sz w:val="24"/>
          <w:szCs w:val="24"/>
        </w:rPr>
        <w:t xml:space="preserve"> must evaluate the program’s mission and aims, strengths, areas for improvement, and threats. (CPR 5.5f.)</w:t>
      </w:r>
    </w:p>
    <w:p w14:paraId="0567A912" w14:textId="77777777" w:rsidR="004E0F0D" w:rsidRPr="00B052A3" w:rsidRDefault="004E0F0D" w:rsidP="004E0F0D">
      <w:pPr>
        <w:spacing w:after="0" w:line="240" w:lineRule="auto"/>
        <w:rPr>
          <w:bCs/>
          <w:sz w:val="24"/>
          <w:szCs w:val="24"/>
        </w:rPr>
      </w:pPr>
    </w:p>
    <w:p w14:paraId="7218A192" w14:textId="2159A82A" w:rsidR="004E0F0D" w:rsidRPr="00B052A3" w:rsidRDefault="004E0F0D" w:rsidP="007030A5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4"/>
          <w:szCs w:val="24"/>
        </w:rPr>
      </w:pPr>
      <w:r w:rsidRPr="00B052A3">
        <w:rPr>
          <w:sz w:val="24"/>
          <w:szCs w:val="24"/>
        </w:rPr>
        <w:t>The Annual Program Evaluation</w:t>
      </w:r>
      <w:r w:rsidR="00B052A3">
        <w:rPr>
          <w:sz w:val="24"/>
          <w:szCs w:val="24"/>
        </w:rPr>
        <w:t xml:space="preserve"> (APE)</w:t>
      </w:r>
      <w:r w:rsidRPr="00B052A3">
        <w:rPr>
          <w:sz w:val="24"/>
          <w:szCs w:val="24"/>
        </w:rPr>
        <w:t>, including the action plan, must be distributed to and discussed with the residents and the members of the teaching faculty, and be submitted to the DIO. (CPR 5.5g.)</w:t>
      </w:r>
    </w:p>
    <w:p w14:paraId="480C6D29" w14:textId="337D4C8A" w:rsidR="004E0F0D" w:rsidRDefault="007030A5" w:rsidP="004E0F0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45B7CB" wp14:editId="5330E1DA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819900" cy="2238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77D9E" w14:textId="04AD14CB" w:rsidR="007030A5" w:rsidRDefault="00B052A3" w:rsidP="007030A5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</w:pPr>
                            <w:r>
                              <w:t xml:space="preserve">Per ACGME </w:t>
                            </w:r>
                            <w:r w:rsidR="007030A5">
                              <w:t>Background and Intent</w:t>
                            </w:r>
                            <w:r>
                              <w:t>, o</w:t>
                            </w:r>
                            <w:r w:rsidR="007030A5">
                              <w:t xml:space="preserve">ther data to be considered for assessment </w:t>
                            </w:r>
                            <w:r>
                              <w:t xml:space="preserve">(as part of the APE) </w:t>
                            </w:r>
                            <w:r w:rsidR="007030A5">
                              <w:t>include</w:t>
                            </w:r>
                            <w:r>
                              <w:t>s</w:t>
                            </w:r>
                            <w:r w:rsidR="007030A5">
                              <w:t xml:space="preserve">: </w:t>
                            </w:r>
                          </w:p>
                          <w:p w14:paraId="4A0AE3A6" w14:textId="77777777" w:rsidR="007030A5" w:rsidRDefault="007030A5" w:rsidP="007030A5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</w:pPr>
                          </w:p>
                          <w:p w14:paraId="1ECC3B90" w14:textId="77777777" w:rsidR="007030A5" w:rsidRDefault="007030A5" w:rsidP="007030A5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</w:pPr>
                            <w:r>
                              <w:t xml:space="preserve">• Curriculum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C15B824" w14:textId="77777777" w:rsidR="007030A5" w:rsidRDefault="007030A5" w:rsidP="007030A5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</w:pPr>
                            <w:r>
                              <w:t xml:space="preserve">• ACGME letters of notification, including citations, Areas for Improvement, and comments </w:t>
                            </w:r>
                          </w:p>
                          <w:p w14:paraId="0845F2BB" w14:textId="77777777" w:rsidR="007030A5" w:rsidRDefault="007030A5" w:rsidP="007030A5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</w:pPr>
                            <w:r>
                              <w:t xml:space="preserve">• Quality and safety of patient care </w:t>
                            </w:r>
                          </w:p>
                          <w:p w14:paraId="7E7DA581" w14:textId="77777777" w:rsidR="007030A5" w:rsidRDefault="007030A5" w:rsidP="007030A5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</w:pPr>
                            <w:r>
                              <w:t xml:space="preserve">• Aggregate resident and faculty well-being; recruitment and retention; engagement in quality improvement and patient safety; and scholarly activity </w:t>
                            </w:r>
                          </w:p>
                          <w:p w14:paraId="35434132" w14:textId="77777777" w:rsidR="007030A5" w:rsidRDefault="007030A5" w:rsidP="007030A5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</w:pPr>
                            <w:r>
                              <w:t xml:space="preserve">• ACGME Resident and Faculty Survey results </w:t>
                            </w:r>
                          </w:p>
                          <w:p w14:paraId="7028F467" w14:textId="7F036205" w:rsidR="007030A5" w:rsidRDefault="007030A5" w:rsidP="007030A5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</w:pPr>
                            <w:r>
                              <w:t xml:space="preserve">• Aggregate resident Milestone evaluations, and achievement on in-training examinations (where applicable), board pass and certification rates, and graduate performance. </w:t>
                            </w:r>
                          </w:p>
                          <w:p w14:paraId="6E34FA11" w14:textId="77777777" w:rsidR="007030A5" w:rsidRDefault="007030A5" w:rsidP="007030A5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t>• Aggregate faculty evaluation and professional development</w:t>
                            </w:r>
                          </w:p>
                          <w:p w14:paraId="016A58B0" w14:textId="77777777" w:rsidR="007030A5" w:rsidRDefault="007030A5" w:rsidP="007030A5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</w:p>
                          <w:p w14:paraId="67D90AD0" w14:textId="77777777" w:rsidR="007030A5" w:rsidRDefault="007030A5" w:rsidP="007030A5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C80B438" w14:textId="77777777" w:rsidR="007030A5" w:rsidRPr="00A15687" w:rsidRDefault="007030A5" w:rsidP="007030A5">
                            <w:pPr>
                              <w:shd w:val="clear" w:color="auto" w:fill="D9D9D9" w:themeFill="background1" w:themeFillShade="D9"/>
                            </w:pPr>
                          </w:p>
                          <w:p w14:paraId="45258033" w14:textId="472335E9" w:rsidR="007030A5" w:rsidRDefault="007030A5" w:rsidP="007030A5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5B7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5.8pt;margin-top:20.25pt;width:537pt;height:17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">
                <v:textbox>
                  <w:txbxContent>
                    <w:p w14:paraId="14277D9E" w14:textId="04AD14CB" w:rsidR="007030A5" w:rsidRDefault="00B052A3" w:rsidP="007030A5">
                      <w:pPr>
                        <w:shd w:val="clear" w:color="auto" w:fill="D9D9D9" w:themeFill="background1" w:themeFillShade="D9"/>
                        <w:spacing w:after="0" w:line="240" w:lineRule="auto"/>
                      </w:pPr>
                      <w:r>
                        <w:t xml:space="preserve">Per ACGME </w:t>
                      </w:r>
                      <w:r w:rsidR="007030A5">
                        <w:t>Background and Intent</w:t>
                      </w:r>
                      <w:r>
                        <w:t>, o</w:t>
                      </w:r>
                      <w:r w:rsidR="007030A5">
                        <w:t xml:space="preserve">ther data to be considered for assessment </w:t>
                      </w:r>
                      <w:r>
                        <w:t xml:space="preserve">(as part of the APE) </w:t>
                      </w:r>
                      <w:r w:rsidR="007030A5">
                        <w:t>include</w:t>
                      </w:r>
                      <w:r>
                        <w:t>s</w:t>
                      </w:r>
                      <w:r w:rsidR="007030A5">
                        <w:t xml:space="preserve">: </w:t>
                      </w:r>
                    </w:p>
                    <w:p w14:paraId="4A0AE3A6" w14:textId="77777777" w:rsidR="007030A5" w:rsidRDefault="007030A5" w:rsidP="007030A5">
                      <w:pPr>
                        <w:shd w:val="clear" w:color="auto" w:fill="D9D9D9" w:themeFill="background1" w:themeFillShade="D9"/>
                        <w:spacing w:after="0" w:line="240" w:lineRule="auto"/>
                      </w:pPr>
                    </w:p>
                    <w:p w14:paraId="1ECC3B90" w14:textId="77777777" w:rsidR="007030A5" w:rsidRDefault="007030A5" w:rsidP="007030A5">
                      <w:pPr>
                        <w:shd w:val="clear" w:color="auto" w:fill="D9D9D9" w:themeFill="background1" w:themeFillShade="D9"/>
                        <w:spacing w:after="0" w:line="240" w:lineRule="auto"/>
                      </w:pPr>
                      <w:r>
                        <w:t xml:space="preserve">• Curriculum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C15B824" w14:textId="77777777" w:rsidR="007030A5" w:rsidRDefault="007030A5" w:rsidP="007030A5">
                      <w:pPr>
                        <w:shd w:val="clear" w:color="auto" w:fill="D9D9D9" w:themeFill="background1" w:themeFillShade="D9"/>
                        <w:spacing w:after="0" w:line="240" w:lineRule="auto"/>
                      </w:pPr>
                      <w:r>
                        <w:t xml:space="preserve">• ACGME letters of notification, including citations, Areas for Improvement, and comments </w:t>
                      </w:r>
                    </w:p>
                    <w:p w14:paraId="0845F2BB" w14:textId="77777777" w:rsidR="007030A5" w:rsidRDefault="007030A5" w:rsidP="007030A5">
                      <w:pPr>
                        <w:shd w:val="clear" w:color="auto" w:fill="D9D9D9" w:themeFill="background1" w:themeFillShade="D9"/>
                        <w:spacing w:after="0" w:line="240" w:lineRule="auto"/>
                      </w:pPr>
                      <w:r>
                        <w:t xml:space="preserve">• Quality and safety of patient care </w:t>
                      </w:r>
                    </w:p>
                    <w:p w14:paraId="7E7DA581" w14:textId="77777777" w:rsidR="007030A5" w:rsidRDefault="007030A5" w:rsidP="007030A5">
                      <w:pPr>
                        <w:shd w:val="clear" w:color="auto" w:fill="D9D9D9" w:themeFill="background1" w:themeFillShade="D9"/>
                        <w:spacing w:after="0" w:line="240" w:lineRule="auto"/>
                      </w:pPr>
                      <w:r>
                        <w:t xml:space="preserve">• Aggregate resident and faculty well-being; recruitment and retention; engagement in quality improvement and patient safety; and scholarly activity </w:t>
                      </w:r>
                    </w:p>
                    <w:p w14:paraId="35434132" w14:textId="77777777" w:rsidR="007030A5" w:rsidRDefault="007030A5" w:rsidP="007030A5">
                      <w:pPr>
                        <w:shd w:val="clear" w:color="auto" w:fill="D9D9D9" w:themeFill="background1" w:themeFillShade="D9"/>
                        <w:spacing w:after="0" w:line="240" w:lineRule="auto"/>
                      </w:pPr>
                      <w:r>
                        <w:t xml:space="preserve">• ACGME Resident and Faculty Survey results </w:t>
                      </w:r>
                    </w:p>
                    <w:p w14:paraId="7028F467" w14:textId="7F036205" w:rsidR="007030A5" w:rsidRDefault="007030A5" w:rsidP="007030A5">
                      <w:pPr>
                        <w:shd w:val="clear" w:color="auto" w:fill="D9D9D9" w:themeFill="background1" w:themeFillShade="D9"/>
                        <w:spacing w:after="0" w:line="240" w:lineRule="auto"/>
                      </w:pPr>
                      <w:r>
                        <w:t xml:space="preserve">• Aggregate resident Milestone evaluations, and achievement on in-training examinations (where applicable), board pass and certification rates, and graduate performance. </w:t>
                      </w:r>
                    </w:p>
                    <w:p w14:paraId="6E34FA11" w14:textId="77777777" w:rsidR="007030A5" w:rsidRDefault="007030A5" w:rsidP="007030A5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Calibri" w:hAnsi="Calibri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t>• Aggregate faculty evaluation and professional development</w:t>
                      </w:r>
                    </w:p>
                    <w:p w14:paraId="016A58B0" w14:textId="77777777" w:rsidR="007030A5" w:rsidRDefault="007030A5" w:rsidP="007030A5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Calibri" w:hAnsi="Calibri"/>
                          <w:color w:val="000000" w:themeColor="text1"/>
                        </w:rPr>
                      </w:pPr>
                    </w:p>
                    <w:p w14:paraId="67D90AD0" w14:textId="77777777" w:rsidR="007030A5" w:rsidRDefault="007030A5" w:rsidP="007030A5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b/>
                          <w:u w:val="single"/>
                        </w:rPr>
                      </w:pPr>
                    </w:p>
                    <w:p w14:paraId="0C80B438" w14:textId="77777777" w:rsidR="007030A5" w:rsidRPr="00A15687" w:rsidRDefault="007030A5" w:rsidP="007030A5">
                      <w:pPr>
                        <w:shd w:val="clear" w:color="auto" w:fill="D9D9D9" w:themeFill="background1" w:themeFillShade="D9"/>
                      </w:pPr>
                    </w:p>
                    <w:p w14:paraId="45258033" w14:textId="472335E9" w:rsidR="007030A5" w:rsidRDefault="007030A5" w:rsidP="007030A5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0C5EA8" w14:textId="524C070C" w:rsidR="00A15687" w:rsidRPr="00A15687" w:rsidRDefault="00B052A3" w:rsidP="00B052A3">
      <w:pPr>
        <w:tabs>
          <w:tab w:val="left" w:pos="8563"/>
        </w:tabs>
      </w:pPr>
      <w:r>
        <w:tab/>
      </w:r>
    </w:p>
    <w:p w14:paraId="42AF4C0A" w14:textId="53C85F9D" w:rsidR="004E0F0D" w:rsidRDefault="004E0F0D" w:rsidP="004E0F0D">
      <w:pPr>
        <w:rPr>
          <w:rFonts w:ascii="Calibri" w:hAnsi="Calibri"/>
          <w:b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lastRenderedPageBreak/>
        <w:t>SAMPLE</w:t>
      </w:r>
      <w:r w:rsidRPr="00A15687">
        <w:rPr>
          <w:rFonts w:ascii="Calibri" w:hAnsi="Calibri"/>
          <w:b/>
          <w:color w:val="000000" w:themeColor="text1"/>
          <w:sz w:val="24"/>
          <w:szCs w:val="24"/>
        </w:rPr>
        <w:t xml:space="preserve"> Annual </w:t>
      </w:r>
      <w:r w:rsidRPr="00A15687">
        <w:rPr>
          <w:rFonts w:ascii="Calibri" w:hAnsi="Calibri"/>
          <w:b/>
          <w:color w:val="000000" w:themeColor="text1"/>
          <w:sz w:val="24"/>
          <w:szCs w:val="24"/>
          <w:u w:val="single"/>
        </w:rPr>
        <w:t>Program</w:t>
      </w:r>
      <w:r w:rsidRPr="00A15687">
        <w:rPr>
          <w:rFonts w:ascii="Calibri" w:hAnsi="Calibri"/>
          <w:b/>
          <w:color w:val="000000" w:themeColor="text1"/>
          <w:sz w:val="24"/>
          <w:szCs w:val="24"/>
        </w:rPr>
        <w:t xml:space="preserve"> Evaluations (APEs)</w:t>
      </w:r>
      <w:r>
        <w:rPr>
          <w:rFonts w:ascii="Calibri" w:hAnsi="Calibri"/>
          <w:b/>
          <w:color w:val="000000" w:themeColor="text1"/>
          <w:sz w:val="24"/>
          <w:szCs w:val="24"/>
        </w:rPr>
        <w:t xml:space="preserve"> Minutes Template</w:t>
      </w:r>
    </w:p>
    <w:p w14:paraId="4908F64E" w14:textId="399DCC00" w:rsidR="004E0F0D" w:rsidRDefault="004E0F0D" w:rsidP="007030A5">
      <w:pPr>
        <w:spacing w:after="0" w:line="240" w:lineRule="auto"/>
        <w:rPr>
          <w:rFonts w:ascii="Calibri" w:hAnsi="Calibri"/>
          <w:bCs/>
          <w:color w:val="000000" w:themeColor="text1"/>
          <w:sz w:val="24"/>
          <w:szCs w:val="24"/>
        </w:rPr>
      </w:pPr>
      <w:r w:rsidRPr="007030A5">
        <w:rPr>
          <w:rFonts w:ascii="Calibri" w:hAnsi="Calibri"/>
          <w:bCs/>
          <w:color w:val="000000" w:themeColor="text1"/>
          <w:sz w:val="24"/>
          <w:szCs w:val="24"/>
        </w:rPr>
        <w:t xml:space="preserve">ALL Programs MUST complete an APE annually and submit their minutes to the GME Annual Program Review (APR) Committee annually.  This is done by uploading the PEC </w:t>
      </w:r>
      <w:r w:rsidRPr="00483A37">
        <w:rPr>
          <w:rFonts w:ascii="Calibri" w:hAnsi="Calibri"/>
          <w:bCs/>
          <w:color w:val="000000" w:themeColor="text1"/>
          <w:sz w:val="24"/>
          <w:szCs w:val="24"/>
          <w:u w:val="single"/>
        </w:rPr>
        <w:t>APE</w:t>
      </w:r>
      <w:r w:rsidR="007030A5" w:rsidRPr="007030A5">
        <w:rPr>
          <w:rFonts w:ascii="Calibri" w:hAnsi="Calibri"/>
          <w:bCs/>
          <w:color w:val="000000" w:themeColor="text1"/>
          <w:sz w:val="24"/>
          <w:szCs w:val="24"/>
        </w:rPr>
        <w:t xml:space="preserve"> minutes</w:t>
      </w:r>
      <w:r w:rsidR="007030A5">
        <w:rPr>
          <w:rFonts w:ascii="Calibri" w:hAnsi="Calibri"/>
          <w:bCs/>
          <w:color w:val="000000" w:themeColor="text1"/>
          <w:sz w:val="24"/>
          <w:szCs w:val="24"/>
        </w:rPr>
        <w:t xml:space="preserve"> to the APR form in </w:t>
      </w:r>
      <w:proofErr w:type="spellStart"/>
      <w:r w:rsidR="007030A5">
        <w:rPr>
          <w:rFonts w:ascii="Calibri" w:hAnsi="Calibri"/>
          <w:bCs/>
          <w:color w:val="000000" w:themeColor="text1"/>
          <w:sz w:val="24"/>
          <w:szCs w:val="24"/>
        </w:rPr>
        <w:t>Medhub</w:t>
      </w:r>
      <w:proofErr w:type="spellEnd"/>
      <w:r w:rsidR="007030A5">
        <w:rPr>
          <w:rFonts w:ascii="Calibri" w:hAnsi="Calibri"/>
          <w:bCs/>
          <w:color w:val="000000" w:themeColor="text1"/>
          <w:sz w:val="24"/>
          <w:szCs w:val="24"/>
        </w:rPr>
        <w:t xml:space="preserve"> along with other required documentation for institutional oversight.  Programs are encouraged to use the below minutes template to ensure all </w:t>
      </w:r>
      <w:r w:rsidR="007030A5" w:rsidRPr="00B052A3">
        <w:rPr>
          <w:rFonts w:ascii="Calibri" w:hAnsi="Calibri"/>
          <w:bCs/>
          <w:color w:val="000000" w:themeColor="text1"/>
          <w:sz w:val="24"/>
          <w:szCs w:val="24"/>
          <w:u w:val="single"/>
        </w:rPr>
        <w:t>required</w:t>
      </w:r>
      <w:r w:rsidR="007030A5">
        <w:rPr>
          <w:rFonts w:ascii="Calibri" w:hAnsi="Calibri"/>
          <w:bCs/>
          <w:color w:val="000000" w:themeColor="text1"/>
          <w:sz w:val="24"/>
          <w:szCs w:val="24"/>
        </w:rPr>
        <w:t xml:space="preserve"> elements of the APE have been covered.   </w:t>
      </w:r>
    </w:p>
    <w:p w14:paraId="5DEE1F74" w14:textId="3FD45573" w:rsidR="00397181" w:rsidRDefault="00397181" w:rsidP="00397181">
      <w:pPr>
        <w:pBdr>
          <w:bottom w:val="single" w:sz="6" w:space="1" w:color="auto"/>
        </w:pBdr>
        <w:tabs>
          <w:tab w:val="left" w:pos="7965"/>
        </w:tabs>
        <w:rPr>
          <w:i/>
          <w:iCs/>
          <w:color w:val="FF0000"/>
        </w:rPr>
      </w:pPr>
      <w:r w:rsidRPr="00397181">
        <w:rPr>
          <w:i/>
          <w:iCs/>
          <w:color w:val="FF0000"/>
        </w:rPr>
        <w:t>*Please review your specialt</w:t>
      </w:r>
      <w:r>
        <w:rPr>
          <w:i/>
          <w:iCs/>
          <w:color w:val="FF0000"/>
        </w:rPr>
        <w:t>y specific</w:t>
      </w:r>
      <w:r w:rsidRPr="00397181">
        <w:rPr>
          <w:i/>
          <w:iCs/>
          <w:color w:val="FF0000"/>
        </w:rPr>
        <w:t xml:space="preserve"> program requirements</w:t>
      </w:r>
      <w:r>
        <w:rPr>
          <w:i/>
          <w:iCs/>
          <w:color w:val="FF0000"/>
        </w:rPr>
        <w:t xml:space="preserve"> for additional reference.</w:t>
      </w:r>
    </w:p>
    <w:p w14:paraId="2E5C5956" w14:textId="40D0ABBE" w:rsidR="009E5E31" w:rsidRPr="009E5E31" w:rsidRDefault="009E5E31" w:rsidP="007030A5">
      <w:pPr>
        <w:spacing w:after="0" w:line="240" w:lineRule="auto"/>
        <w:rPr>
          <w:rFonts w:ascii="Calibri" w:hAnsi="Calibri"/>
          <w:b/>
          <w:color w:val="000000" w:themeColor="text1"/>
          <w:sz w:val="24"/>
          <w:szCs w:val="24"/>
        </w:rPr>
      </w:pPr>
      <w:r w:rsidRPr="009E5E31">
        <w:rPr>
          <w:rFonts w:ascii="Calibri" w:hAnsi="Calibri"/>
          <w:b/>
          <w:color w:val="000000" w:themeColor="text1"/>
          <w:sz w:val="24"/>
          <w:szCs w:val="24"/>
        </w:rPr>
        <w:t>Program Name:</w:t>
      </w:r>
    </w:p>
    <w:p w14:paraId="1D200616" w14:textId="6754D99D" w:rsidR="009E5E31" w:rsidRPr="009E5E31" w:rsidRDefault="009E5E31" w:rsidP="007030A5">
      <w:pPr>
        <w:spacing w:after="0" w:line="240" w:lineRule="auto"/>
        <w:rPr>
          <w:rFonts w:ascii="Calibri" w:hAnsi="Calibri"/>
          <w:b/>
          <w:color w:val="000000" w:themeColor="text1"/>
          <w:sz w:val="24"/>
          <w:szCs w:val="24"/>
        </w:rPr>
      </w:pPr>
      <w:r w:rsidRPr="009E5E31">
        <w:rPr>
          <w:rFonts w:ascii="Calibri" w:hAnsi="Calibri"/>
          <w:b/>
          <w:color w:val="000000" w:themeColor="text1"/>
          <w:sz w:val="24"/>
          <w:szCs w:val="24"/>
        </w:rPr>
        <w:t xml:space="preserve">Date of </w:t>
      </w:r>
      <w:r w:rsidR="00B052A3">
        <w:rPr>
          <w:rFonts w:ascii="Calibri" w:hAnsi="Calibri"/>
          <w:b/>
          <w:color w:val="000000" w:themeColor="text1"/>
          <w:sz w:val="24"/>
          <w:szCs w:val="24"/>
        </w:rPr>
        <w:t>Annual Program Evaluation (APE) meeting conducted by the PEC</w:t>
      </w:r>
      <w:r w:rsidRPr="009E5E31">
        <w:rPr>
          <w:rFonts w:ascii="Calibri" w:hAnsi="Calibri"/>
          <w:b/>
          <w:color w:val="000000" w:themeColor="text1"/>
          <w:sz w:val="24"/>
          <w:szCs w:val="24"/>
        </w:rPr>
        <w:t>:</w:t>
      </w:r>
    </w:p>
    <w:p w14:paraId="0C0FE2BF" w14:textId="250328C9" w:rsidR="009E5E31" w:rsidRPr="009E5E31" w:rsidRDefault="009E5E31" w:rsidP="007030A5">
      <w:pPr>
        <w:spacing w:after="0" w:line="240" w:lineRule="auto"/>
        <w:rPr>
          <w:rFonts w:ascii="Calibri" w:hAnsi="Calibri"/>
          <w:b/>
          <w:color w:val="000000" w:themeColor="text1"/>
          <w:sz w:val="24"/>
          <w:szCs w:val="24"/>
        </w:rPr>
      </w:pPr>
      <w:r w:rsidRPr="009E5E31">
        <w:rPr>
          <w:rFonts w:ascii="Calibri" w:hAnsi="Calibri"/>
          <w:b/>
          <w:color w:val="000000" w:themeColor="text1"/>
          <w:sz w:val="24"/>
          <w:szCs w:val="24"/>
        </w:rPr>
        <w:t>Academic Year Reviewed:</w:t>
      </w:r>
      <w:r w:rsidR="00B052A3">
        <w:rPr>
          <w:rFonts w:ascii="Calibri" w:hAnsi="Calibri"/>
          <w:b/>
          <w:color w:val="000000" w:themeColor="text1"/>
          <w:sz w:val="24"/>
          <w:szCs w:val="24"/>
        </w:rPr>
        <w:t xml:space="preserve"> </w:t>
      </w:r>
    </w:p>
    <w:p w14:paraId="0582DCBA" w14:textId="7F807E05" w:rsidR="00176092" w:rsidRDefault="00176092" w:rsidP="007030A5">
      <w:pPr>
        <w:spacing w:after="0" w:line="240" w:lineRule="auto"/>
        <w:rPr>
          <w:rFonts w:ascii="Calibri" w:hAnsi="Calibri"/>
          <w:bCs/>
          <w:color w:val="000000" w:themeColor="text1"/>
          <w:sz w:val="24"/>
          <w:szCs w:val="24"/>
        </w:rPr>
      </w:pPr>
      <w:r w:rsidRPr="009E5E31">
        <w:rPr>
          <w:rFonts w:ascii="Calibri" w:hAnsi="Calibr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018187" wp14:editId="7F6F78FA">
                <wp:simplePos x="0" y="0"/>
                <wp:positionH relativeFrom="margin">
                  <wp:align>left</wp:align>
                </wp:positionH>
                <wp:positionV relativeFrom="paragraph">
                  <wp:posOffset>377063</wp:posOffset>
                </wp:positionV>
                <wp:extent cx="6791325" cy="1404620"/>
                <wp:effectExtent l="0" t="0" r="2857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CD56" w14:textId="182EE95C" w:rsidR="009E5E31" w:rsidRDefault="009E5E31" w:rsidP="009E5E31">
                            <w:pPr>
                              <w:spacing w:after="0" w:line="240" w:lineRule="auto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Program Accreditation Status:</w:t>
                            </w:r>
                          </w:p>
                          <w:p w14:paraId="16CA2932" w14:textId="77777777" w:rsidR="009E5E31" w:rsidRPr="009E5E31" w:rsidRDefault="009E5E31" w:rsidP="009E5E3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9E5E31">
                              <w:rPr>
                                <w:rFonts w:eastAsia="Symbol" w:cstheme="minorHAnsi"/>
                              </w:rPr>
                              <w:sym w:font="Symbol" w:char="F080"/>
                            </w:r>
                            <w:r w:rsidRPr="009E5E31">
                              <w:rPr>
                                <w:rFonts w:cstheme="minorHAnsi"/>
                              </w:rPr>
                              <w:t xml:space="preserve"> Continued Accreditation </w:t>
                            </w:r>
                            <w:r w:rsidRPr="009E5E31">
                              <w:rPr>
                                <w:rFonts w:cstheme="minorHAnsi"/>
                              </w:rPr>
                              <w:tab/>
                            </w:r>
                            <w:r w:rsidRPr="009E5E31">
                              <w:rPr>
                                <w:rFonts w:cstheme="minorHAnsi"/>
                              </w:rPr>
                              <w:tab/>
                            </w:r>
                            <w:r w:rsidRPr="009E5E31">
                              <w:rPr>
                                <w:rFonts w:cstheme="minorHAnsi"/>
                              </w:rPr>
                              <w:tab/>
                            </w:r>
                            <w:r w:rsidRPr="009E5E31">
                              <w:rPr>
                                <w:rFonts w:cstheme="minorHAnsi"/>
                              </w:rPr>
                              <w:tab/>
                            </w:r>
                            <w:r w:rsidRPr="009E5E31">
                              <w:rPr>
                                <w:rFonts w:eastAsia="Symbol" w:cstheme="minorHAnsi"/>
                              </w:rPr>
                              <w:sym w:font="Symbol" w:char="F080"/>
                            </w:r>
                            <w:r w:rsidRPr="009E5E31">
                              <w:rPr>
                                <w:rFonts w:cstheme="minorHAnsi"/>
                              </w:rPr>
                              <w:t xml:space="preserve"> Initial Accreditation</w:t>
                            </w:r>
                            <w:r w:rsidRPr="009E5E31">
                              <w:rPr>
                                <w:rFonts w:cstheme="minorHAnsi"/>
                              </w:rPr>
                              <w:tab/>
                            </w:r>
                            <w:r w:rsidRPr="009E5E31">
                              <w:rPr>
                                <w:rFonts w:cstheme="minorHAnsi"/>
                              </w:rPr>
                              <w:tab/>
                            </w:r>
                            <w:r w:rsidRPr="009E5E31">
                              <w:rPr>
                                <w:rFonts w:cstheme="minorHAnsi"/>
                              </w:rPr>
                              <w:tab/>
                            </w:r>
                            <w:r w:rsidRPr="009E5E31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14:paraId="649B2B8B" w14:textId="77777777" w:rsidR="009E5E31" w:rsidRPr="009E5E31" w:rsidRDefault="009E5E31" w:rsidP="009E5E3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9E5E31">
                              <w:rPr>
                                <w:rFonts w:eastAsia="Symbol" w:cstheme="minorHAnsi"/>
                              </w:rPr>
                              <w:sym w:font="Symbol" w:char="F080"/>
                            </w:r>
                            <w:r w:rsidRPr="009E5E31">
                              <w:rPr>
                                <w:rFonts w:cstheme="minorHAnsi"/>
                              </w:rPr>
                              <w:t xml:space="preserve"> Continued Accreditation with Warning</w:t>
                            </w:r>
                            <w:r w:rsidRPr="009E5E31">
                              <w:rPr>
                                <w:rFonts w:cstheme="minorHAnsi"/>
                              </w:rPr>
                              <w:tab/>
                            </w:r>
                            <w:r w:rsidRPr="009E5E31">
                              <w:rPr>
                                <w:rFonts w:cstheme="minorHAnsi"/>
                              </w:rPr>
                              <w:tab/>
                            </w:r>
                            <w:r w:rsidRPr="009E5E31">
                              <w:rPr>
                                <w:rFonts w:eastAsia="Symbol" w:cstheme="minorHAnsi"/>
                              </w:rPr>
                              <w:sym w:font="Symbol" w:char="F080"/>
                            </w:r>
                            <w:r w:rsidRPr="009E5E31">
                              <w:rPr>
                                <w:rFonts w:cstheme="minorHAnsi"/>
                              </w:rPr>
                              <w:t xml:space="preserve"> Initial Accreditation with Warning</w:t>
                            </w:r>
                          </w:p>
                          <w:p w14:paraId="2FE25F2B" w14:textId="77777777" w:rsidR="009E5E31" w:rsidRPr="009E5E31" w:rsidRDefault="009E5E31" w:rsidP="009E5E3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9E5E31">
                              <w:rPr>
                                <w:rFonts w:eastAsia="Symbol" w:cstheme="minorHAnsi"/>
                              </w:rPr>
                              <w:sym w:font="Symbol" w:char="F080"/>
                            </w:r>
                            <w:r w:rsidRPr="009E5E31">
                              <w:rPr>
                                <w:rFonts w:cstheme="minorHAnsi"/>
                              </w:rPr>
                              <w:t xml:space="preserve"> Probationary Accreditation </w:t>
                            </w:r>
                            <w:r w:rsidRPr="009E5E31">
                              <w:rPr>
                                <w:rFonts w:cstheme="minorHAnsi"/>
                              </w:rPr>
                              <w:tab/>
                            </w:r>
                            <w:r w:rsidRPr="009E5E31">
                              <w:rPr>
                                <w:rFonts w:cstheme="minorHAnsi"/>
                              </w:rPr>
                              <w:tab/>
                            </w:r>
                            <w:r w:rsidRPr="009E5E31">
                              <w:rPr>
                                <w:rFonts w:cstheme="minorHAnsi"/>
                              </w:rPr>
                              <w:tab/>
                            </w:r>
                            <w:r w:rsidRPr="009E5E31">
                              <w:rPr>
                                <w:rFonts w:cstheme="minorHAnsi"/>
                              </w:rPr>
                              <w:tab/>
                            </w:r>
                            <w:r w:rsidRPr="009E5E31">
                              <w:rPr>
                                <w:rFonts w:eastAsia="Symbol" w:cstheme="minorHAnsi"/>
                              </w:rPr>
                              <w:sym w:font="Symbol" w:char="F080"/>
                            </w:r>
                            <w:r w:rsidRPr="009E5E31">
                              <w:rPr>
                                <w:rFonts w:cstheme="minorHAnsi"/>
                              </w:rPr>
                              <w:t xml:space="preserve"> Continued Accreditation without 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18187" id="_x0000_s1027" type="#_x0000_t202" style="position:absolute;margin-left:0;margin-top:29.7pt;width:534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">
                <v:textbox style="mso-fit-shape-to-text:t">
                  <w:txbxContent>
                    <w:p w14:paraId="1158CD56" w14:textId="182EE95C" w:rsidR="009E5E31" w:rsidRDefault="009E5E31" w:rsidP="009E5E31">
                      <w:pPr>
                        <w:spacing w:after="0" w:line="240" w:lineRule="auto"/>
                        <w:rPr>
                          <w:rFonts w:ascii="Calibri" w:hAnsi="Calibr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color w:val="000000" w:themeColor="text1"/>
                          <w:sz w:val="24"/>
                          <w:szCs w:val="24"/>
                        </w:rPr>
                        <w:t>Program Accreditation Status:</w:t>
                      </w:r>
                    </w:p>
                    <w:p w14:paraId="16CA2932" w14:textId="77777777" w:rsidR="009E5E31" w:rsidRPr="009E5E31" w:rsidRDefault="009E5E31" w:rsidP="009E5E3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9E5E31">
                        <w:rPr>
                          <w:rFonts w:eastAsia="Symbol" w:cstheme="minorHAnsi"/>
                        </w:rPr>
                        <w:sym w:font="Symbol" w:char="F080"/>
                      </w:r>
                      <w:r w:rsidRPr="009E5E31">
                        <w:rPr>
                          <w:rFonts w:cstheme="minorHAnsi"/>
                        </w:rPr>
                        <w:t xml:space="preserve"> Continued Accreditation </w:t>
                      </w:r>
                      <w:r w:rsidRPr="009E5E31">
                        <w:rPr>
                          <w:rFonts w:cstheme="minorHAnsi"/>
                        </w:rPr>
                        <w:tab/>
                      </w:r>
                      <w:r w:rsidRPr="009E5E31">
                        <w:rPr>
                          <w:rFonts w:cstheme="minorHAnsi"/>
                        </w:rPr>
                        <w:tab/>
                      </w:r>
                      <w:r w:rsidRPr="009E5E31">
                        <w:rPr>
                          <w:rFonts w:cstheme="minorHAnsi"/>
                        </w:rPr>
                        <w:tab/>
                      </w:r>
                      <w:r w:rsidRPr="009E5E31">
                        <w:rPr>
                          <w:rFonts w:cstheme="minorHAnsi"/>
                        </w:rPr>
                        <w:tab/>
                      </w:r>
                      <w:r w:rsidRPr="009E5E31">
                        <w:rPr>
                          <w:rFonts w:eastAsia="Symbol" w:cstheme="minorHAnsi"/>
                        </w:rPr>
                        <w:sym w:font="Symbol" w:char="F080"/>
                      </w:r>
                      <w:r w:rsidRPr="009E5E31">
                        <w:rPr>
                          <w:rFonts w:cstheme="minorHAnsi"/>
                        </w:rPr>
                        <w:t xml:space="preserve"> Initial Accreditation</w:t>
                      </w:r>
                      <w:r w:rsidRPr="009E5E31">
                        <w:rPr>
                          <w:rFonts w:cstheme="minorHAnsi"/>
                        </w:rPr>
                        <w:tab/>
                      </w:r>
                      <w:r w:rsidRPr="009E5E31">
                        <w:rPr>
                          <w:rFonts w:cstheme="minorHAnsi"/>
                        </w:rPr>
                        <w:tab/>
                      </w:r>
                      <w:r w:rsidRPr="009E5E31">
                        <w:rPr>
                          <w:rFonts w:cstheme="minorHAnsi"/>
                        </w:rPr>
                        <w:tab/>
                      </w:r>
                      <w:r w:rsidRPr="009E5E31">
                        <w:rPr>
                          <w:rFonts w:cstheme="minorHAnsi"/>
                        </w:rPr>
                        <w:tab/>
                      </w:r>
                    </w:p>
                    <w:p w14:paraId="649B2B8B" w14:textId="77777777" w:rsidR="009E5E31" w:rsidRPr="009E5E31" w:rsidRDefault="009E5E31" w:rsidP="009E5E3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9E5E31">
                        <w:rPr>
                          <w:rFonts w:eastAsia="Symbol" w:cstheme="minorHAnsi"/>
                        </w:rPr>
                        <w:sym w:font="Symbol" w:char="F080"/>
                      </w:r>
                      <w:r w:rsidRPr="009E5E31">
                        <w:rPr>
                          <w:rFonts w:cstheme="minorHAnsi"/>
                        </w:rPr>
                        <w:t xml:space="preserve"> Continued Accreditation with Warning</w:t>
                      </w:r>
                      <w:r w:rsidRPr="009E5E31">
                        <w:rPr>
                          <w:rFonts w:cstheme="minorHAnsi"/>
                        </w:rPr>
                        <w:tab/>
                      </w:r>
                      <w:r w:rsidRPr="009E5E31">
                        <w:rPr>
                          <w:rFonts w:cstheme="minorHAnsi"/>
                        </w:rPr>
                        <w:tab/>
                      </w:r>
                      <w:r w:rsidRPr="009E5E31">
                        <w:rPr>
                          <w:rFonts w:eastAsia="Symbol" w:cstheme="minorHAnsi"/>
                        </w:rPr>
                        <w:sym w:font="Symbol" w:char="F080"/>
                      </w:r>
                      <w:r w:rsidRPr="009E5E31">
                        <w:rPr>
                          <w:rFonts w:cstheme="minorHAnsi"/>
                        </w:rPr>
                        <w:t xml:space="preserve"> Initial Accreditation with Warning</w:t>
                      </w:r>
                    </w:p>
                    <w:p w14:paraId="2FE25F2B" w14:textId="77777777" w:rsidR="009E5E31" w:rsidRPr="009E5E31" w:rsidRDefault="009E5E31" w:rsidP="009E5E3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9E5E31">
                        <w:rPr>
                          <w:rFonts w:eastAsia="Symbol" w:cstheme="minorHAnsi"/>
                        </w:rPr>
                        <w:sym w:font="Symbol" w:char="F080"/>
                      </w:r>
                      <w:r w:rsidRPr="009E5E31">
                        <w:rPr>
                          <w:rFonts w:cstheme="minorHAnsi"/>
                        </w:rPr>
                        <w:t xml:space="preserve"> Probationary Accreditation </w:t>
                      </w:r>
                      <w:r w:rsidRPr="009E5E31">
                        <w:rPr>
                          <w:rFonts w:cstheme="minorHAnsi"/>
                        </w:rPr>
                        <w:tab/>
                      </w:r>
                      <w:r w:rsidRPr="009E5E31">
                        <w:rPr>
                          <w:rFonts w:cstheme="minorHAnsi"/>
                        </w:rPr>
                        <w:tab/>
                      </w:r>
                      <w:r w:rsidRPr="009E5E31">
                        <w:rPr>
                          <w:rFonts w:cstheme="minorHAnsi"/>
                        </w:rPr>
                        <w:tab/>
                      </w:r>
                      <w:r w:rsidRPr="009E5E31">
                        <w:rPr>
                          <w:rFonts w:cstheme="minorHAnsi"/>
                        </w:rPr>
                        <w:tab/>
                      </w:r>
                      <w:r w:rsidRPr="009E5E31">
                        <w:rPr>
                          <w:rFonts w:eastAsia="Symbol" w:cstheme="minorHAnsi"/>
                        </w:rPr>
                        <w:sym w:font="Symbol" w:char="F080"/>
                      </w:r>
                      <w:r w:rsidRPr="009E5E31">
                        <w:rPr>
                          <w:rFonts w:cstheme="minorHAnsi"/>
                        </w:rPr>
                        <w:t xml:space="preserve"> Continued Accreditation without Outcomes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52A3">
        <w:rPr>
          <w:rFonts w:ascii="Calibri" w:hAnsi="Calibri"/>
          <w:b/>
          <w:color w:val="000000" w:themeColor="text1"/>
          <w:sz w:val="24"/>
          <w:szCs w:val="24"/>
        </w:rPr>
        <w:t xml:space="preserve">List all participating </w:t>
      </w:r>
      <w:r w:rsidR="009E5E31" w:rsidRPr="009E5E31">
        <w:rPr>
          <w:rFonts w:ascii="Calibri" w:hAnsi="Calibri"/>
          <w:b/>
          <w:color w:val="000000" w:themeColor="text1"/>
          <w:sz w:val="24"/>
          <w:szCs w:val="24"/>
        </w:rPr>
        <w:t>PEC Members</w:t>
      </w:r>
      <w:r w:rsidR="00B052A3">
        <w:rPr>
          <w:rFonts w:ascii="Calibri" w:hAnsi="Calibri"/>
          <w:b/>
          <w:color w:val="000000" w:themeColor="text1"/>
          <w:sz w:val="24"/>
          <w:szCs w:val="24"/>
        </w:rPr>
        <w:t xml:space="preserve"> (must include at least one trainee)</w:t>
      </w:r>
      <w:r w:rsidR="009E5E31" w:rsidRPr="009E5E31">
        <w:rPr>
          <w:rFonts w:ascii="Calibri" w:hAnsi="Calibri"/>
          <w:b/>
          <w:color w:val="000000" w:themeColor="text1"/>
          <w:sz w:val="24"/>
          <w:szCs w:val="24"/>
        </w:rPr>
        <w:t>:</w:t>
      </w:r>
      <w:r w:rsidR="009E5E31">
        <w:rPr>
          <w:rFonts w:ascii="Calibri" w:hAnsi="Calibri"/>
          <w:bCs/>
          <w:color w:val="000000" w:themeColor="text1"/>
          <w:sz w:val="24"/>
          <w:szCs w:val="24"/>
        </w:rPr>
        <w:t xml:space="preserve">   </w:t>
      </w:r>
    </w:p>
    <w:p w14:paraId="0166CD9A" w14:textId="09156994" w:rsidR="009E5E31" w:rsidRDefault="009E5E31" w:rsidP="007030A5">
      <w:pPr>
        <w:spacing w:after="0" w:line="240" w:lineRule="auto"/>
        <w:rPr>
          <w:rFonts w:ascii="Calibri" w:hAnsi="Calibri"/>
          <w:bCs/>
          <w:color w:val="000000" w:themeColor="text1"/>
          <w:sz w:val="24"/>
          <w:szCs w:val="24"/>
        </w:rPr>
      </w:pPr>
    </w:p>
    <w:p w14:paraId="6BBEE2F5" w14:textId="448527C5" w:rsidR="008403CB" w:rsidRDefault="00616DF4" w:rsidP="008403CB">
      <w:pPr>
        <w:spacing w:after="0" w:line="240" w:lineRule="auto"/>
        <w:rPr>
          <w:rFonts w:ascii="Calibri" w:hAnsi="Calibri"/>
          <w:bCs/>
          <w:color w:val="000000" w:themeColor="text1"/>
          <w:sz w:val="24"/>
          <w:szCs w:val="24"/>
        </w:rPr>
      </w:pPr>
      <w:r w:rsidRPr="008403CB">
        <w:rPr>
          <w:rFonts w:ascii="Calibri" w:hAnsi="Calibri"/>
          <w:b/>
          <w:color w:val="000000" w:themeColor="text1"/>
          <w:sz w:val="24"/>
          <w:szCs w:val="24"/>
        </w:rPr>
        <w:t>Current Citations</w:t>
      </w:r>
      <w:r w:rsidRPr="008403CB">
        <w:rPr>
          <w:rFonts w:ascii="Calibri" w:hAnsi="Calibri"/>
          <w:bCs/>
          <w:color w:val="000000" w:themeColor="text1"/>
          <w:sz w:val="24"/>
          <w:szCs w:val="24"/>
        </w:rPr>
        <w:t xml:space="preserve"> &amp; </w:t>
      </w:r>
      <w:r w:rsidR="00762938" w:rsidRPr="008403CB">
        <w:rPr>
          <w:rFonts w:ascii="Calibri" w:hAnsi="Calibri"/>
          <w:bCs/>
          <w:color w:val="000000" w:themeColor="text1"/>
          <w:sz w:val="24"/>
          <w:szCs w:val="24"/>
        </w:rPr>
        <w:t>m</w:t>
      </w:r>
      <w:r w:rsidRPr="008403CB">
        <w:rPr>
          <w:rFonts w:ascii="Calibri" w:hAnsi="Calibri"/>
          <w:bCs/>
          <w:color w:val="000000" w:themeColor="text1"/>
          <w:sz w:val="24"/>
          <w:szCs w:val="24"/>
        </w:rPr>
        <w:t xml:space="preserve">ost </w:t>
      </w:r>
      <w:r w:rsidR="00762938" w:rsidRPr="008403CB">
        <w:rPr>
          <w:rFonts w:ascii="Calibri" w:hAnsi="Calibri"/>
          <w:bCs/>
          <w:color w:val="000000" w:themeColor="text1"/>
          <w:sz w:val="24"/>
          <w:szCs w:val="24"/>
        </w:rPr>
        <w:t>r</w:t>
      </w:r>
      <w:r w:rsidRPr="008403CB">
        <w:rPr>
          <w:rFonts w:ascii="Calibri" w:hAnsi="Calibri"/>
          <w:bCs/>
          <w:color w:val="000000" w:themeColor="text1"/>
          <w:sz w:val="24"/>
          <w:szCs w:val="24"/>
        </w:rPr>
        <w:t xml:space="preserve">ecent </w:t>
      </w:r>
      <w:r w:rsidR="00762938" w:rsidRPr="008403CB">
        <w:rPr>
          <w:rFonts w:ascii="Calibri" w:hAnsi="Calibri"/>
          <w:bCs/>
          <w:color w:val="000000" w:themeColor="text1"/>
          <w:sz w:val="24"/>
          <w:szCs w:val="24"/>
        </w:rPr>
        <w:t>r</w:t>
      </w:r>
      <w:r w:rsidRPr="008403CB">
        <w:rPr>
          <w:rFonts w:ascii="Calibri" w:hAnsi="Calibri"/>
          <w:bCs/>
          <w:color w:val="000000" w:themeColor="text1"/>
          <w:sz w:val="24"/>
          <w:szCs w:val="24"/>
        </w:rPr>
        <w:t>esponse</w:t>
      </w:r>
      <w:r w:rsidR="008403CB">
        <w:rPr>
          <w:rFonts w:ascii="Calibri" w:hAnsi="Calibri"/>
          <w:bCs/>
          <w:color w:val="000000" w:themeColor="text1"/>
          <w:sz w:val="24"/>
          <w:szCs w:val="24"/>
        </w:rPr>
        <w:t xml:space="preserve"> (capture meeting discussion notes here): </w:t>
      </w:r>
    </w:p>
    <w:p w14:paraId="3FE1A72A" w14:textId="65F42DCC" w:rsidR="00616DF4" w:rsidRPr="008403CB" w:rsidRDefault="00616DF4" w:rsidP="008403CB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/>
          <w:bCs/>
          <w:color w:val="000000" w:themeColor="text1"/>
          <w:sz w:val="24"/>
          <w:szCs w:val="24"/>
        </w:rPr>
      </w:pPr>
      <w:r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>required entry in</w:t>
      </w:r>
      <w:r w:rsidR="00176092"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 xml:space="preserve">to </w:t>
      </w:r>
      <w:proofErr w:type="spellStart"/>
      <w:r w:rsidR="00176092"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>Medhub</w:t>
      </w:r>
      <w:proofErr w:type="spellEnd"/>
      <w:r w:rsidR="00176092"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 xml:space="preserve"> APR form</w:t>
      </w:r>
      <w:r w:rsidR="00176092" w:rsidRPr="008403CB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="008403CB">
        <w:rPr>
          <w:rFonts w:ascii="Calibri" w:hAnsi="Calibri"/>
          <w:bCs/>
          <w:color w:val="000000" w:themeColor="text1"/>
          <w:sz w:val="24"/>
          <w:szCs w:val="24"/>
        </w:rPr>
        <w:tab/>
      </w:r>
      <w:r w:rsidR="008403CB">
        <w:rPr>
          <w:rFonts w:ascii="Calibri" w:hAnsi="Calibri"/>
          <w:bCs/>
          <w:color w:val="000000" w:themeColor="text1"/>
          <w:sz w:val="24"/>
          <w:szCs w:val="24"/>
        </w:rPr>
        <w:tab/>
      </w:r>
      <w:r w:rsidR="008403CB">
        <w:rPr>
          <w:rFonts w:asciiTheme="majorHAnsi" w:hAnsiTheme="majorHAnsi" w:cstheme="majorHAnsi"/>
          <w:bCs/>
          <w:color w:val="000000" w:themeColor="text1"/>
        </w:rPr>
        <w:sym w:font="Wingdings" w:char="F06F"/>
      </w:r>
      <w:r w:rsidR="008403CB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8403CB"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 xml:space="preserve">required annual </w:t>
      </w:r>
      <w:proofErr w:type="spellStart"/>
      <w:r w:rsidR="008403CB"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>WebADS</w:t>
      </w:r>
      <w:proofErr w:type="spellEnd"/>
      <w:r w:rsidR="008403CB"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 xml:space="preserve"> response</w:t>
      </w:r>
      <w:r w:rsidR="00176092" w:rsidRPr="008403CB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</w:p>
    <w:p w14:paraId="3AE43A0C" w14:textId="70E7965E" w:rsidR="00616DF4" w:rsidRPr="00176092" w:rsidRDefault="00616DF4" w:rsidP="007030A5">
      <w:pPr>
        <w:spacing w:after="0" w:line="240" w:lineRule="auto"/>
        <w:rPr>
          <w:rFonts w:ascii="Calibri" w:hAnsi="Calibri"/>
          <w:bCs/>
          <w:color w:val="000000" w:themeColor="text1"/>
          <w:sz w:val="24"/>
          <w:szCs w:val="24"/>
        </w:rPr>
      </w:pPr>
    </w:p>
    <w:p w14:paraId="2529AF12" w14:textId="5BB34DC8" w:rsidR="00616DF4" w:rsidRDefault="00616DF4" w:rsidP="007030A5">
      <w:pPr>
        <w:spacing w:after="0" w:line="240" w:lineRule="auto"/>
        <w:rPr>
          <w:rFonts w:ascii="Calibri" w:hAnsi="Calibri"/>
          <w:bCs/>
          <w:color w:val="000000" w:themeColor="text1"/>
          <w:sz w:val="24"/>
          <w:szCs w:val="24"/>
        </w:rPr>
      </w:pPr>
    </w:p>
    <w:p w14:paraId="08BBCE1F" w14:textId="77777777" w:rsidR="00544B6B" w:rsidRPr="00176092" w:rsidRDefault="00544B6B" w:rsidP="007030A5">
      <w:pPr>
        <w:spacing w:after="0" w:line="240" w:lineRule="auto"/>
        <w:rPr>
          <w:rFonts w:ascii="Calibri" w:hAnsi="Calibri"/>
          <w:bCs/>
          <w:color w:val="000000" w:themeColor="text1"/>
          <w:sz w:val="24"/>
          <w:szCs w:val="24"/>
        </w:rPr>
      </w:pPr>
    </w:p>
    <w:p w14:paraId="3210A1E3" w14:textId="77777777" w:rsidR="00616DF4" w:rsidRPr="00176092" w:rsidRDefault="00616DF4" w:rsidP="007030A5">
      <w:pPr>
        <w:spacing w:after="0" w:line="240" w:lineRule="auto"/>
        <w:rPr>
          <w:rFonts w:ascii="Calibri" w:hAnsi="Calibri"/>
          <w:bCs/>
          <w:color w:val="000000" w:themeColor="text1"/>
          <w:sz w:val="24"/>
          <w:szCs w:val="24"/>
        </w:rPr>
      </w:pPr>
    </w:p>
    <w:p w14:paraId="57054B16" w14:textId="43722786" w:rsidR="009E5E31" w:rsidRPr="008403CB" w:rsidRDefault="009E5E31" w:rsidP="008403CB">
      <w:pPr>
        <w:spacing w:after="0" w:line="240" w:lineRule="auto"/>
        <w:rPr>
          <w:bCs/>
          <w:sz w:val="24"/>
          <w:szCs w:val="24"/>
        </w:rPr>
      </w:pPr>
      <w:r w:rsidRPr="008403CB">
        <w:rPr>
          <w:b/>
          <w:sz w:val="24"/>
          <w:szCs w:val="24"/>
        </w:rPr>
        <w:t>Action Plan</w:t>
      </w:r>
      <w:r w:rsidRPr="008403CB">
        <w:rPr>
          <w:bCs/>
          <w:sz w:val="24"/>
          <w:szCs w:val="24"/>
        </w:rPr>
        <w:t xml:space="preserve"> items as identified by the PEC </w:t>
      </w:r>
      <w:r w:rsidR="008403CB">
        <w:rPr>
          <w:rFonts w:ascii="Calibri" w:hAnsi="Calibri"/>
          <w:bCs/>
          <w:color w:val="000000" w:themeColor="text1"/>
          <w:sz w:val="24"/>
          <w:szCs w:val="24"/>
        </w:rPr>
        <w:t xml:space="preserve">(capture meeting discussion notes here): </w:t>
      </w:r>
    </w:p>
    <w:p w14:paraId="63BC763A" w14:textId="4909D669" w:rsidR="009E5E31" w:rsidRPr="008403CB" w:rsidRDefault="008403CB" w:rsidP="008403CB">
      <w:pPr>
        <w:pStyle w:val="ListParagraph"/>
        <w:numPr>
          <w:ilvl w:val="0"/>
          <w:numId w:val="20"/>
        </w:numPr>
        <w:spacing w:after="0" w:line="240" w:lineRule="auto"/>
        <w:rPr>
          <w:bCs/>
          <w:sz w:val="24"/>
          <w:szCs w:val="24"/>
        </w:rPr>
      </w:pPr>
      <w:r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 xml:space="preserve">required entry into </w:t>
      </w:r>
      <w:proofErr w:type="spellStart"/>
      <w:r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>Medhub</w:t>
      </w:r>
      <w:proofErr w:type="spellEnd"/>
      <w:r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 xml:space="preserve"> APR form</w:t>
      </w:r>
      <w:r w:rsidRPr="008403CB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Pr="008403CB">
        <w:rPr>
          <w:rFonts w:ascii="Calibri" w:hAnsi="Calibri"/>
          <w:bCs/>
          <w:color w:val="000000" w:themeColor="text1"/>
          <w:sz w:val="24"/>
          <w:szCs w:val="24"/>
        </w:rPr>
        <w:tab/>
      </w:r>
    </w:p>
    <w:p w14:paraId="4748D34C" w14:textId="4FDEE340" w:rsidR="009E5E31" w:rsidRPr="00176092" w:rsidRDefault="009E5E31" w:rsidP="009E5E31">
      <w:pPr>
        <w:spacing w:after="0" w:line="240" w:lineRule="auto"/>
        <w:rPr>
          <w:bCs/>
          <w:sz w:val="24"/>
          <w:szCs w:val="24"/>
        </w:rPr>
      </w:pPr>
    </w:p>
    <w:p w14:paraId="34C0E385" w14:textId="27DF3449" w:rsidR="009E5E31" w:rsidRDefault="009E5E31" w:rsidP="009E5E31">
      <w:pPr>
        <w:spacing w:after="0" w:line="240" w:lineRule="auto"/>
        <w:rPr>
          <w:bCs/>
          <w:sz w:val="24"/>
          <w:szCs w:val="24"/>
        </w:rPr>
      </w:pPr>
    </w:p>
    <w:p w14:paraId="38E590C3" w14:textId="59EF642D" w:rsidR="00544B6B" w:rsidRDefault="00544B6B" w:rsidP="009E5E31">
      <w:pPr>
        <w:spacing w:after="0" w:line="240" w:lineRule="auto"/>
        <w:rPr>
          <w:bCs/>
          <w:sz w:val="24"/>
          <w:szCs w:val="24"/>
        </w:rPr>
      </w:pPr>
    </w:p>
    <w:p w14:paraId="4FE2FC4C" w14:textId="03D0E255" w:rsidR="00544B6B" w:rsidRDefault="00544B6B" w:rsidP="009E5E31">
      <w:pPr>
        <w:spacing w:after="0" w:line="240" w:lineRule="auto"/>
        <w:rPr>
          <w:bCs/>
          <w:sz w:val="24"/>
          <w:szCs w:val="24"/>
        </w:rPr>
      </w:pPr>
    </w:p>
    <w:p w14:paraId="7F877AD7" w14:textId="77777777" w:rsidR="00544B6B" w:rsidRPr="00176092" w:rsidRDefault="00544B6B" w:rsidP="009E5E31">
      <w:pPr>
        <w:spacing w:after="0" w:line="240" w:lineRule="auto"/>
        <w:rPr>
          <w:bCs/>
          <w:sz w:val="24"/>
          <w:szCs w:val="24"/>
        </w:rPr>
      </w:pPr>
    </w:p>
    <w:p w14:paraId="0205869B" w14:textId="77777777" w:rsidR="009E5E31" w:rsidRPr="00176092" w:rsidRDefault="009E5E31" w:rsidP="009E5E31">
      <w:pPr>
        <w:spacing w:after="0" w:line="240" w:lineRule="auto"/>
        <w:rPr>
          <w:bCs/>
          <w:sz w:val="24"/>
          <w:szCs w:val="24"/>
        </w:rPr>
      </w:pPr>
    </w:p>
    <w:p w14:paraId="3E784B5A" w14:textId="416852A9" w:rsidR="008403CB" w:rsidRDefault="008403CB" w:rsidP="008403CB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="009E5E31" w:rsidRPr="008403CB">
        <w:rPr>
          <w:b/>
          <w:sz w:val="24"/>
          <w:szCs w:val="24"/>
        </w:rPr>
        <w:t xml:space="preserve">rior </w:t>
      </w:r>
      <w:r>
        <w:rPr>
          <w:b/>
          <w:sz w:val="24"/>
          <w:szCs w:val="24"/>
        </w:rPr>
        <w:t>Y</w:t>
      </w:r>
      <w:r w:rsidR="009E5E31" w:rsidRPr="008403CB">
        <w:rPr>
          <w:b/>
          <w:sz w:val="24"/>
          <w:szCs w:val="24"/>
        </w:rPr>
        <w:t xml:space="preserve">ear </w:t>
      </w:r>
      <w:r>
        <w:rPr>
          <w:b/>
          <w:sz w:val="24"/>
          <w:szCs w:val="24"/>
        </w:rPr>
        <w:t>A</w:t>
      </w:r>
      <w:r w:rsidR="009E5E31" w:rsidRPr="008403CB">
        <w:rPr>
          <w:b/>
          <w:sz w:val="24"/>
          <w:szCs w:val="24"/>
        </w:rPr>
        <w:t xml:space="preserve">ction </w:t>
      </w:r>
      <w:r w:rsidRPr="008403CB">
        <w:rPr>
          <w:bCs/>
          <w:sz w:val="24"/>
          <w:szCs w:val="24"/>
        </w:rPr>
        <w:t>P</w:t>
      </w:r>
      <w:r w:rsidR="009E5E31" w:rsidRPr="008403CB">
        <w:rPr>
          <w:bCs/>
          <w:sz w:val="24"/>
          <w:szCs w:val="24"/>
        </w:rPr>
        <w:t xml:space="preserve">lan </w:t>
      </w:r>
      <w:r w:rsidRPr="008403CB">
        <w:rPr>
          <w:bCs/>
          <w:sz w:val="24"/>
          <w:szCs w:val="24"/>
        </w:rPr>
        <w:t>Progress</w:t>
      </w:r>
      <w:r>
        <w:rPr>
          <w:bCs/>
          <w:sz w:val="24"/>
          <w:szCs w:val="24"/>
        </w:rPr>
        <w:t xml:space="preserve"> </w:t>
      </w:r>
      <w:r>
        <w:rPr>
          <w:rFonts w:ascii="Calibri" w:hAnsi="Calibri"/>
          <w:bCs/>
          <w:color w:val="000000" w:themeColor="text1"/>
          <w:sz w:val="24"/>
          <w:szCs w:val="24"/>
        </w:rPr>
        <w:t>(capture meeting discussion notes here):</w:t>
      </w:r>
    </w:p>
    <w:p w14:paraId="75056E70" w14:textId="77777777" w:rsidR="008403CB" w:rsidRPr="008403CB" w:rsidRDefault="008403CB" w:rsidP="008403CB">
      <w:pPr>
        <w:pStyle w:val="ListParagraph"/>
        <w:numPr>
          <w:ilvl w:val="0"/>
          <w:numId w:val="20"/>
        </w:numPr>
        <w:spacing w:after="0" w:line="240" w:lineRule="auto"/>
        <w:rPr>
          <w:bCs/>
          <w:sz w:val="24"/>
          <w:szCs w:val="24"/>
        </w:rPr>
      </w:pPr>
      <w:r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 xml:space="preserve">required entry into </w:t>
      </w:r>
      <w:proofErr w:type="spellStart"/>
      <w:r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>Medhub</w:t>
      </w:r>
      <w:proofErr w:type="spellEnd"/>
      <w:r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 xml:space="preserve"> APR form</w:t>
      </w:r>
      <w:r w:rsidRPr="008403CB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Pr="008403CB">
        <w:rPr>
          <w:rFonts w:ascii="Calibri" w:hAnsi="Calibri"/>
          <w:bCs/>
          <w:color w:val="000000" w:themeColor="text1"/>
          <w:sz w:val="24"/>
          <w:szCs w:val="24"/>
        </w:rPr>
        <w:tab/>
      </w:r>
    </w:p>
    <w:p w14:paraId="545EA219" w14:textId="29099FAF" w:rsidR="009E5E31" w:rsidRPr="00176092" w:rsidRDefault="009E5E31" w:rsidP="009E5E31">
      <w:pPr>
        <w:pStyle w:val="ListParagraph"/>
        <w:spacing w:after="0" w:line="240" w:lineRule="auto"/>
        <w:rPr>
          <w:bCs/>
          <w:sz w:val="24"/>
          <w:szCs w:val="24"/>
        </w:rPr>
      </w:pPr>
    </w:p>
    <w:p w14:paraId="713FB8F7" w14:textId="51F5C34E" w:rsidR="009E5E31" w:rsidRDefault="009E5E31" w:rsidP="009E5E31">
      <w:pPr>
        <w:pStyle w:val="ListParagraph"/>
        <w:spacing w:after="0" w:line="240" w:lineRule="auto"/>
        <w:rPr>
          <w:bCs/>
          <w:sz w:val="24"/>
          <w:szCs w:val="24"/>
        </w:rPr>
      </w:pPr>
    </w:p>
    <w:p w14:paraId="5C525D0D" w14:textId="5EC8B422" w:rsidR="00544B6B" w:rsidRDefault="00544B6B" w:rsidP="009E5E31">
      <w:pPr>
        <w:pStyle w:val="ListParagraph"/>
        <w:spacing w:after="0" w:line="240" w:lineRule="auto"/>
        <w:rPr>
          <w:bCs/>
          <w:sz w:val="24"/>
          <w:szCs w:val="24"/>
        </w:rPr>
      </w:pPr>
    </w:p>
    <w:p w14:paraId="54B35238" w14:textId="7E660E53" w:rsidR="00544B6B" w:rsidRDefault="00544B6B" w:rsidP="009E5E31">
      <w:pPr>
        <w:pStyle w:val="ListParagraph"/>
        <w:spacing w:after="0" w:line="240" w:lineRule="auto"/>
        <w:rPr>
          <w:bCs/>
          <w:sz w:val="24"/>
          <w:szCs w:val="24"/>
        </w:rPr>
      </w:pPr>
    </w:p>
    <w:p w14:paraId="2C407A25" w14:textId="409A97D0" w:rsidR="00544B6B" w:rsidRDefault="00544B6B" w:rsidP="009E5E31">
      <w:pPr>
        <w:pStyle w:val="ListParagraph"/>
        <w:spacing w:after="0" w:line="240" w:lineRule="auto"/>
        <w:rPr>
          <w:bCs/>
          <w:sz w:val="24"/>
          <w:szCs w:val="24"/>
        </w:rPr>
      </w:pPr>
    </w:p>
    <w:p w14:paraId="05BECD26" w14:textId="77777777" w:rsidR="00544B6B" w:rsidRPr="00176092" w:rsidRDefault="00544B6B" w:rsidP="009E5E31">
      <w:pPr>
        <w:pStyle w:val="ListParagraph"/>
        <w:spacing w:after="0" w:line="240" w:lineRule="auto"/>
        <w:rPr>
          <w:bCs/>
          <w:sz w:val="24"/>
          <w:szCs w:val="24"/>
        </w:rPr>
      </w:pPr>
    </w:p>
    <w:p w14:paraId="26B0115E" w14:textId="77777777" w:rsidR="009E5E31" w:rsidRPr="00176092" w:rsidRDefault="009E5E31" w:rsidP="008403CB">
      <w:pPr>
        <w:pStyle w:val="ListParagraph"/>
        <w:spacing w:after="0" w:line="240" w:lineRule="auto"/>
        <w:ind w:left="360"/>
        <w:rPr>
          <w:bCs/>
          <w:sz w:val="24"/>
          <w:szCs w:val="24"/>
        </w:rPr>
      </w:pPr>
    </w:p>
    <w:p w14:paraId="72DEE39B" w14:textId="6A25F6B5" w:rsidR="00616DF4" w:rsidRDefault="00B81CCA" w:rsidP="00B81CCA">
      <w:pPr>
        <w:spacing w:after="0" w:line="240" w:lineRule="auto"/>
        <w:rPr>
          <w:sz w:val="24"/>
          <w:szCs w:val="24"/>
        </w:rPr>
      </w:pPr>
      <w:r w:rsidRPr="00B81CCA">
        <w:rPr>
          <w:b/>
          <w:bCs/>
          <w:sz w:val="24"/>
          <w:szCs w:val="24"/>
        </w:rPr>
        <w:t>Program Mission &amp; Aims</w:t>
      </w:r>
      <w:r>
        <w:rPr>
          <w:sz w:val="24"/>
          <w:szCs w:val="24"/>
        </w:rPr>
        <w:t xml:space="preserve"> (capture meeting discussion notes related to assessment of): </w:t>
      </w:r>
    </w:p>
    <w:p w14:paraId="4D766AC6" w14:textId="52EB12C8" w:rsidR="00B81CCA" w:rsidRDefault="00B81CCA" w:rsidP="00B81CCA">
      <w:pPr>
        <w:spacing w:after="0" w:line="240" w:lineRule="auto"/>
        <w:rPr>
          <w:sz w:val="24"/>
          <w:szCs w:val="24"/>
        </w:rPr>
      </w:pPr>
    </w:p>
    <w:p w14:paraId="1F3C6F3B" w14:textId="6C83E57A" w:rsidR="00B81CCA" w:rsidRDefault="00B81CCA" w:rsidP="00B81CCA">
      <w:pPr>
        <w:spacing w:after="0" w:line="240" w:lineRule="auto"/>
        <w:rPr>
          <w:sz w:val="24"/>
          <w:szCs w:val="24"/>
        </w:rPr>
      </w:pPr>
    </w:p>
    <w:p w14:paraId="1B075842" w14:textId="03D194DA" w:rsidR="00B81CCA" w:rsidRDefault="00B81CCA" w:rsidP="00B81CCA">
      <w:pPr>
        <w:spacing w:after="0" w:line="240" w:lineRule="auto"/>
        <w:rPr>
          <w:sz w:val="24"/>
          <w:szCs w:val="24"/>
        </w:rPr>
      </w:pPr>
    </w:p>
    <w:p w14:paraId="1A481D81" w14:textId="5BA09B14" w:rsidR="00B81CCA" w:rsidRDefault="00B81CCA" w:rsidP="00B81CCA">
      <w:pPr>
        <w:spacing w:after="0" w:line="240" w:lineRule="auto"/>
        <w:rPr>
          <w:sz w:val="24"/>
          <w:szCs w:val="24"/>
        </w:rPr>
      </w:pPr>
    </w:p>
    <w:p w14:paraId="3B6A3777" w14:textId="74DEAAF7" w:rsidR="00B81CCA" w:rsidRDefault="00B81CCA" w:rsidP="00B81CCA">
      <w:pPr>
        <w:spacing w:after="0" w:line="240" w:lineRule="auto"/>
        <w:rPr>
          <w:sz w:val="24"/>
          <w:szCs w:val="24"/>
        </w:rPr>
      </w:pPr>
    </w:p>
    <w:p w14:paraId="1D51C4A9" w14:textId="5F452CFB" w:rsidR="00B81CCA" w:rsidRPr="00B81CCA" w:rsidRDefault="00B81CCA" w:rsidP="00B81CCA">
      <w:pPr>
        <w:spacing w:after="0" w:line="240" w:lineRule="auto"/>
        <w:rPr>
          <w:bCs/>
          <w:sz w:val="24"/>
          <w:szCs w:val="24"/>
        </w:rPr>
      </w:pPr>
      <w:r w:rsidRPr="00B81CCA">
        <w:rPr>
          <w:b/>
          <w:bCs/>
          <w:sz w:val="24"/>
          <w:szCs w:val="24"/>
        </w:rPr>
        <w:lastRenderedPageBreak/>
        <w:t>Program SWOT</w:t>
      </w:r>
      <w:r>
        <w:rPr>
          <w:sz w:val="24"/>
          <w:szCs w:val="24"/>
        </w:rPr>
        <w:t xml:space="preserve"> </w:t>
      </w:r>
      <w:r>
        <w:rPr>
          <w:rFonts w:ascii="Calibri" w:hAnsi="Calibri"/>
          <w:bCs/>
          <w:color w:val="000000" w:themeColor="text1"/>
          <w:sz w:val="24"/>
          <w:szCs w:val="24"/>
        </w:rPr>
        <w:t>(capture meeting discussion notes here):</w:t>
      </w:r>
    </w:p>
    <w:p w14:paraId="1EDF8E91" w14:textId="77777777" w:rsidR="00B81CCA" w:rsidRPr="008403CB" w:rsidRDefault="00B81CCA" w:rsidP="00B81CCA">
      <w:pPr>
        <w:pStyle w:val="ListParagraph"/>
        <w:numPr>
          <w:ilvl w:val="0"/>
          <w:numId w:val="20"/>
        </w:numPr>
        <w:spacing w:after="0" w:line="240" w:lineRule="auto"/>
        <w:rPr>
          <w:bCs/>
          <w:sz w:val="24"/>
          <w:szCs w:val="24"/>
        </w:rPr>
      </w:pPr>
      <w:r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 xml:space="preserve">required entry into </w:t>
      </w:r>
      <w:proofErr w:type="spellStart"/>
      <w:r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>Medhub</w:t>
      </w:r>
      <w:proofErr w:type="spellEnd"/>
      <w:r w:rsidRPr="008403CB">
        <w:rPr>
          <w:rFonts w:ascii="Calibri" w:hAnsi="Calibri"/>
          <w:bCs/>
          <w:i/>
          <w:iCs/>
          <w:color w:val="000000" w:themeColor="text1"/>
          <w:sz w:val="24"/>
          <w:szCs w:val="24"/>
        </w:rPr>
        <w:t xml:space="preserve"> APR form</w:t>
      </w:r>
      <w:r w:rsidRPr="008403CB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Pr="008403CB">
        <w:rPr>
          <w:rFonts w:ascii="Calibri" w:hAnsi="Calibri"/>
          <w:bCs/>
          <w:color w:val="000000" w:themeColor="text1"/>
          <w:sz w:val="24"/>
          <w:szCs w:val="24"/>
        </w:rPr>
        <w:tab/>
      </w:r>
    </w:p>
    <w:p w14:paraId="13C986B3" w14:textId="016D0D12" w:rsidR="00616DF4" w:rsidRDefault="00616DF4" w:rsidP="00616DF4">
      <w:pPr>
        <w:pStyle w:val="ListParagraph"/>
        <w:spacing w:after="0" w:line="240" w:lineRule="auto"/>
        <w:rPr>
          <w:sz w:val="24"/>
          <w:szCs w:val="24"/>
        </w:rPr>
      </w:pPr>
    </w:p>
    <w:p w14:paraId="4F9B2E73" w14:textId="4E3C4149" w:rsidR="00B81CCA" w:rsidRDefault="00B81CCA" w:rsidP="00616DF4">
      <w:pPr>
        <w:pStyle w:val="ListParagraph"/>
        <w:spacing w:after="0" w:line="240" w:lineRule="auto"/>
        <w:rPr>
          <w:sz w:val="24"/>
          <w:szCs w:val="24"/>
        </w:rPr>
      </w:pPr>
      <w:r w:rsidRPr="00B81CCA">
        <w:rPr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trengths: </w:t>
      </w:r>
    </w:p>
    <w:p w14:paraId="78A16C73" w14:textId="63CA7D4C" w:rsidR="00B81CCA" w:rsidRDefault="00B81CCA" w:rsidP="00616DF4">
      <w:pPr>
        <w:pStyle w:val="ListParagraph"/>
        <w:spacing w:after="0" w:line="240" w:lineRule="auto"/>
        <w:rPr>
          <w:sz w:val="24"/>
          <w:szCs w:val="24"/>
        </w:rPr>
      </w:pPr>
    </w:p>
    <w:p w14:paraId="659F7FA8" w14:textId="14FDCFA9" w:rsidR="00544B6B" w:rsidRDefault="00544B6B" w:rsidP="00616DF4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14:paraId="681430CD" w14:textId="77777777" w:rsidR="00544B6B" w:rsidRDefault="00544B6B" w:rsidP="00616DF4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14:paraId="6A35C0D2" w14:textId="7AFA0BB1" w:rsidR="00B81CCA" w:rsidRDefault="00B81CCA" w:rsidP="00616DF4">
      <w:pPr>
        <w:pStyle w:val="ListParagraph"/>
        <w:spacing w:after="0" w:line="240" w:lineRule="auto"/>
        <w:rPr>
          <w:sz w:val="24"/>
          <w:szCs w:val="24"/>
        </w:rPr>
      </w:pPr>
      <w:r w:rsidRPr="00B81CCA">
        <w:rPr>
          <w:sz w:val="24"/>
          <w:szCs w:val="24"/>
          <w:u w:val="single"/>
        </w:rPr>
        <w:t>W</w:t>
      </w:r>
      <w:r>
        <w:rPr>
          <w:sz w:val="24"/>
          <w:szCs w:val="24"/>
        </w:rPr>
        <w:t>eaknesses:</w:t>
      </w:r>
    </w:p>
    <w:p w14:paraId="5A54D39B" w14:textId="0346BB9A" w:rsidR="00B81CCA" w:rsidRDefault="00B81CCA" w:rsidP="00616DF4">
      <w:pPr>
        <w:pStyle w:val="ListParagraph"/>
        <w:spacing w:after="0" w:line="240" w:lineRule="auto"/>
        <w:rPr>
          <w:sz w:val="24"/>
          <w:szCs w:val="24"/>
        </w:rPr>
      </w:pPr>
    </w:p>
    <w:p w14:paraId="6C72388E" w14:textId="6199BA3B" w:rsidR="00544B6B" w:rsidRDefault="00544B6B" w:rsidP="00616DF4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14:paraId="618A62D1" w14:textId="77777777" w:rsidR="00544B6B" w:rsidRDefault="00544B6B" w:rsidP="00616DF4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14:paraId="4B97B1B3" w14:textId="32F141B3" w:rsidR="00B81CCA" w:rsidRDefault="00B81CCA" w:rsidP="00616DF4">
      <w:pPr>
        <w:pStyle w:val="ListParagraph"/>
        <w:spacing w:after="0" w:line="240" w:lineRule="auto"/>
        <w:rPr>
          <w:sz w:val="24"/>
          <w:szCs w:val="24"/>
        </w:rPr>
      </w:pPr>
      <w:r w:rsidRPr="00B81CCA">
        <w:rPr>
          <w:sz w:val="24"/>
          <w:szCs w:val="24"/>
          <w:u w:val="single"/>
        </w:rPr>
        <w:t>O</w:t>
      </w:r>
      <w:r>
        <w:rPr>
          <w:sz w:val="24"/>
          <w:szCs w:val="24"/>
        </w:rPr>
        <w:t xml:space="preserve">pportunities: </w:t>
      </w:r>
    </w:p>
    <w:p w14:paraId="5E5ABE07" w14:textId="0E3E9E0C" w:rsidR="00544B6B" w:rsidRDefault="00544B6B" w:rsidP="00616DF4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14:paraId="1341E277" w14:textId="77777777" w:rsidR="00544B6B" w:rsidRDefault="00544B6B" w:rsidP="00616DF4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14:paraId="2699F288" w14:textId="77777777" w:rsidR="00544B6B" w:rsidRDefault="00544B6B" w:rsidP="00616DF4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14:paraId="1801C302" w14:textId="14E815D3" w:rsidR="00B81CCA" w:rsidRPr="00176092" w:rsidRDefault="00B81CCA" w:rsidP="00616DF4">
      <w:pPr>
        <w:pStyle w:val="ListParagraph"/>
        <w:spacing w:after="0" w:line="240" w:lineRule="auto"/>
        <w:rPr>
          <w:sz w:val="24"/>
          <w:szCs w:val="24"/>
        </w:rPr>
      </w:pPr>
      <w:r w:rsidRPr="00B81CCA">
        <w:rPr>
          <w:sz w:val="24"/>
          <w:szCs w:val="24"/>
          <w:u w:val="single"/>
        </w:rPr>
        <w:t>T</w:t>
      </w:r>
      <w:r>
        <w:rPr>
          <w:sz w:val="24"/>
          <w:szCs w:val="24"/>
        </w:rPr>
        <w:t xml:space="preserve">hreats: </w:t>
      </w:r>
    </w:p>
    <w:p w14:paraId="247EE865" w14:textId="78474674" w:rsidR="00616DF4" w:rsidRDefault="00616DF4" w:rsidP="00616DF4">
      <w:pPr>
        <w:pStyle w:val="ListParagraph"/>
        <w:spacing w:after="0" w:line="240" w:lineRule="auto"/>
        <w:rPr>
          <w:sz w:val="24"/>
          <w:szCs w:val="24"/>
        </w:rPr>
      </w:pPr>
    </w:p>
    <w:p w14:paraId="6166CD1F" w14:textId="74F09931" w:rsidR="00B81CCA" w:rsidRDefault="00B81CCA" w:rsidP="00616DF4">
      <w:pPr>
        <w:pStyle w:val="ListParagraph"/>
        <w:spacing w:after="0" w:line="240" w:lineRule="auto"/>
        <w:rPr>
          <w:sz w:val="24"/>
          <w:szCs w:val="24"/>
        </w:rPr>
      </w:pPr>
    </w:p>
    <w:p w14:paraId="4D31E583" w14:textId="77777777" w:rsidR="00544B6B" w:rsidRDefault="00544B6B" w:rsidP="00616DF4">
      <w:pPr>
        <w:pStyle w:val="ListParagraph"/>
        <w:spacing w:after="0" w:line="240" w:lineRule="auto"/>
        <w:rPr>
          <w:sz w:val="24"/>
          <w:szCs w:val="24"/>
        </w:rPr>
      </w:pPr>
    </w:p>
    <w:p w14:paraId="74E29636" w14:textId="14E0E70B" w:rsidR="00616DF4" w:rsidRPr="00B81CCA" w:rsidRDefault="00B81CCA" w:rsidP="00B81CCA">
      <w:pPr>
        <w:spacing w:after="0" w:line="240" w:lineRule="auto"/>
        <w:rPr>
          <w:bCs/>
          <w:sz w:val="24"/>
          <w:szCs w:val="24"/>
        </w:rPr>
      </w:pPr>
      <w:r w:rsidRPr="00B81CCA">
        <w:rPr>
          <w:b/>
          <w:bCs/>
          <w:sz w:val="24"/>
          <w:szCs w:val="24"/>
        </w:rPr>
        <w:t xml:space="preserve">Aggregate </w:t>
      </w:r>
      <w:r w:rsidR="007030A5" w:rsidRPr="00B81CCA">
        <w:rPr>
          <w:b/>
          <w:bCs/>
          <w:sz w:val="24"/>
          <w:szCs w:val="24"/>
        </w:rPr>
        <w:t>resident and faculty written evaluations of the program</w:t>
      </w:r>
      <w:r>
        <w:rPr>
          <w:sz w:val="24"/>
          <w:szCs w:val="24"/>
        </w:rPr>
        <w:t xml:space="preserve"> and other relevant data </w:t>
      </w:r>
      <w:r>
        <w:rPr>
          <w:rFonts w:ascii="Calibri" w:hAnsi="Calibri"/>
          <w:bCs/>
          <w:color w:val="000000" w:themeColor="text1"/>
          <w:sz w:val="24"/>
          <w:szCs w:val="24"/>
        </w:rPr>
        <w:t>(capture meeting discussion notes here):</w:t>
      </w:r>
      <w:r>
        <w:rPr>
          <w:sz w:val="24"/>
          <w:szCs w:val="24"/>
        </w:rPr>
        <w:t xml:space="preserve">  </w:t>
      </w:r>
      <w:r w:rsidR="007030A5" w:rsidRPr="00B81CCA">
        <w:rPr>
          <w:sz w:val="24"/>
          <w:szCs w:val="24"/>
        </w:rPr>
        <w:t xml:space="preserve"> </w:t>
      </w:r>
    </w:p>
    <w:p w14:paraId="61AD6C1D" w14:textId="77777777" w:rsidR="00B81CCA" w:rsidRDefault="00B81CCA" w:rsidP="00B81CCA">
      <w:pPr>
        <w:spacing w:after="0" w:line="240" w:lineRule="auto"/>
        <w:rPr>
          <w:sz w:val="24"/>
          <w:szCs w:val="24"/>
        </w:rPr>
      </w:pPr>
    </w:p>
    <w:p w14:paraId="33E3DE6F" w14:textId="77777777" w:rsidR="00B81CCA" w:rsidRDefault="00B81CCA" w:rsidP="00B81CCA">
      <w:pPr>
        <w:spacing w:after="0" w:line="240" w:lineRule="auto"/>
        <w:rPr>
          <w:sz w:val="24"/>
          <w:szCs w:val="24"/>
        </w:rPr>
      </w:pPr>
    </w:p>
    <w:p w14:paraId="6E90877B" w14:textId="7861FE17" w:rsidR="00B81CCA" w:rsidRDefault="00B81CCA" w:rsidP="00B81CCA">
      <w:pPr>
        <w:spacing w:after="0" w:line="240" w:lineRule="auto"/>
        <w:rPr>
          <w:sz w:val="24"/>
          <w:szCs w:val="24"/>
        </w:rPr>
      </w:pPr>
    </w:p>
    <w:p w14:paraId="625D9E68" w14:textId="77777777" w:rsidR="00544B6B" w:rsidRDefault="00544B6B" w:rsidP="00B81CCA">
      <w:pPr>
        <w:spacing w:after="0" w:line="240" w:lineRule="auto"/>
        <w:rPr>
          <w:sz w:val="24"/>
          <w:szCs w:val="24"/>
        </w:rPr>
      </w:pPr>
    </w:p>
    <w:p w14:paraId="5A919C8A" w14:textId="77777777" w:rsidR="00B81CCA" w:rsidRDefault="00B81CCA" w:rsidP="00B81CCA">
      <w:pPr>
        <w:spacing w:after="0" w:line="240" w:lineRule="auto"/>
        <w:rPr>
          <w:sz w:val="24"/>
          <w:szCs w:val="24"/>
        </w:rPr>
      </w:pPr>
    </w:p>
    <w:p w14:paraId="7FF26F26" w14:textId="39AA6FD9" w:rsidR="00616DF4" w:rsidRPr="00B81CCA" w:rsidRDefault="00B81CCA" w:rsidP="00B81CCA">
      <w:p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Consider </w:t>
      </w:r>
      <w:r w:rsidR="007030A5" w:rsidRPr="00B81CCA">
        <w:rPr>
          <w:sz w:val="24"/>
          <w:szCs w:val="24"/>
        </w:rPr>
        <w:t>other relevant data</w:t>
      </w:r>
      <w:r w:rsidR="00616DF4" w:rsidRPr="00B81CCA">
        <w:rPr>
          <w:sz w:val="24"/>
          <w:szCs w:val="24"/>
        </w:rPr>
        <w:t xml:space="preserve"> such as:</w:t>
      </w:r>
      <w:r w:rsidR="00616DF4" w:rsidRPr="00B81CCA">
        <w:rPr>
          <w:sz w:val="24"/>
          <w:szCs w:val="24"/>
        </w:rPr>
        <w:tab/>
      </w:r>
    </w:p>
    <w:p w14:paraId="732D9BD6" w14:textId="58FF07F3" w:rsidR="00616DF4" w:rsidRPr="00176092" w:rsidRDefault="00616DF4" w:rsidP="00616DF4">
      <w:pPr>
        <w:pStyle w:val="ListParagraph"/>
        <w:numPr>
          <w:ilvl w:val="1"/>
          <w:numId w:val="13"/>
        </w:numPr>
        <w:spacing w:after="0" w:line="240" w:lineRule="auto"/>
        <w:rPr>
          <w:bCs/>
          <w:sz w:val="24"/>
          <w:szCs w:val="24"/>
        </w:rPr>
      </w:pPr>
      <w:r w:rsidRPr="00176092">
        <w:rPr>
          <w:sz w:val="24"/>
          <w:szCs w:val="24"/>
        </w:rPr>
        <w:t xml:space="preserve">Curriculum </w:t>
      </w:r>
    </w:p>
    <w:p w14:paraId="62CB84B6" w14:textId="308308F5" w:rsidR="00616DF4" w:rsidRPr="00176092" w:rsidRDefault="00616DF4" w:rsidP="00616DF4">
      <w:pPr>
        <w:pStyle w:val="ListParagraph"/>
        <w:numPr>
          <w:ilvl w:val="1"/>
          <w:numId w:val="13"/>
        </w:numPr>
        <w:spacing w:after="0" w:line="240" w:lineRule="auto"/>
        <w:rPr>
          <w:bCs/>
          <w:sz w:val="24"/>
          <w:szCs w:val="24"/>
        </w:rPr>
      </w:pPr>
      <w:r w:rsidRPr="00176092">
        <w:rPr>
          <w:sz w:val="24"/>
          <w:szCs w:val="24"/>
        </w:rPr>
        <w:t xml:space="preserve">ACGME letters of notification, including citations, Areas for Improvement, and comments </w:t>
      </w:r>
      <w:r w:rsidR="007030A5" w:rsidRPr="00176092">
        <w:rPr>
          <w:sz w:val="24"/>
          <w:szCs w:val="24"/>
        </w:rPr>
        <w:t xml:space="preserve"> </w:t>
      </w:r>
    </w:p>
    <w:p w14:paraId="3FD63F0D" w14:textId="42E2DF5D" w:rsidR="00616DF4" w:rsidRPr="00176092" w:rsidRDefault="00616DF4" w:rsidP="00616DF4">
      <w:pPr>
        <w:pStyle w:val="ListParagraph"/>
        <w:numPr>
          <w:ilvl w:val="1"/>
          <w:numId w:val="13"/>
        </w:numPr>
        <w:spacing w:after="0" w:line="240" w:lineRule="auto"/>
        <w:rPr>
          <w:bCs/>
          <w:sz w:val="24"/>
          <w:szCs w:val="24"/>
        </w:rPr>
      </w:pPr>
      <w:r w:rsidRPr="00176092">
        <w:rPr>
          <w:bCs/>
          <w:sz w:val="24"/>
          <w:szCs w:val="24"/>
        </w:rPr>
        <w:t>Quality and safety of patient care</w:t>
      </w:r>
    </w:p>
    <w:p w14:paraId="22F56898" w14:textId="4AE0C932" w:rsidR="007030A5" w:rsidRPr="00176092" w:rsidRDefault="00616DF4" w:rsidP="00616DF4">
      <w:pPr>
        <w:pStyle w:val="ListParagraph"/>
        <w:numPr>
          <w:ilvl w:val="1"/>
          <w:numId w:val="13"/>
        </w:numPr>
        <w:spacing w:after="0" w:line="240" w:lineRule="auto"/>
        <w:rPr>
          <w:bCs/>
          <w:sz w:val="24"/>
          <w:szCs w:val="24"/>
        </w:rPr>
      </w:pPr>
      <w:r w:rsidRPr="00176092">
        <w:rPr>
          <w:sz w:val="24"/>
          <w:szCs w:val="24"/>
        </w:rPr>
        <w:t>Aggregate resident and faculty well-being; recruitment and retention; engagement in quality improvement and patient safety; and scholarly activity</w:t>
      </w:r>
    </w:p>
    <w:p w14:paraId="2EE7A411" w14:textId="6C500209" w:rsidR="00762938" w:rsidRPr="00176092" w:rsidRDefault="00762938" w:rsidP="00762938">
      <w:pPr>
        <w:pStyle w:val="ListParagraph"/>
        <w:numPr>
          <w:ilvl w:val="1"/>
          <w:numId w:val="13"/>
        </w:numPr>
        <w:spacing w:after="0" w:line="240" w:lineRule="auto"/>
        <w:rPr>
          <w:bCs/>
          <w:sz w:val="24"/>
          <w:szCs w:val="24"/>
        </w:rPr>
      </w:pPr>
      <w:r w:rsidRPr="00176092">
        <w:rPr>
          <w:sz w:val="24"/>
          <w:szCs w:val="24"/>
        </w:rPr>
        <w:t xml:space="preserve">ACGME Resident and Faculty Survey results </w:t>
      </w:r>
    </w:p>
    <w:p w14:paraId="3F6D30D5" w14:textId="77777777" w:rsidR="00483A37" w:rsidRPr="00176092" w:rsidRDefault="00762938" w:rsidP="00483A37">
      <w:pPr>
        <w:pStyle w:val="ListParagraph"/>
        <w:numPr>
          <w:ilvl w:val="1"/>
          <w:numId w:val="13"/>
        </w:numPr>
        <w:spacing w:after="0" w:line="240" w:lineRule="auto"/>
        <w:rPr>
          <w:bCs/>
          <w:sz w:val="24"/>
          <w:szCs w:val="24"/>
        </w:rPr>
      </w:pPr>
      <w:r w:rsidRPr="00176092">
        <w:rPr>
          <w:sz w:val="24"/>
          <w:szCs w:val="24"/>
        </w:rPr>
        <w:t xml:space="preserve">Aggregate resident </w:t>
      </w:r>
      <w:proofErr w:type="gramStart"/>
      <w:r w:rsidRPr="00176092">
        <w:rPr>
          <w:sz w:val="24"/>
          <w:szCs w:val="24"/>
        </w:rPr>
        <w:t>Milestones</w:t>
      </w:r>
      <w:proofErr w:type="gramEnd"/>
      <w:r w:rsidRPr="00176092">
        <w:rPr>
          <w:sz w:val="24"/>
          <w:szCs w:val="24"/>
        </w:rPr>
        <w:t xml:space="preserve"> evaluations, and achievement on in-training examinations (where applicable), board pass and certification rates, and graduate performance.</w:t>
      </w:r>
    </w:p>
    <w:p w14:paraId="59802E39" w14:textId="77777777" w:rsidR="00B81CCA" w:rsidRPr="00B81CCA" w:rsidRDefault="00483A37" w:rsidP="00B81CCA">
      <w:pPr>
        <w:pStyle w:val="ListParagraph"/>
        <w:numPr>
          <w:ilvl w:val="1"/>
          <w:numId w:val="13"/>
        </w:numPr>
        <w:spacing w:after="0" w:line="240" w:lineRule="auto"/>
        <w:rPr>
          <w:bCs/>
          <w:sz w:val="24"/>
          <w:szCs w:val="24"/>
        </w:rPr>
      </w:pPr>
      <w:r w:rsidRPr="00176092">
        <w:rPr>
          <w:sz w:val="24"/>
          <w:szCs w:val="24"/>
        </w:rPr>
        <w:t>Aggregate faculty evaluation and professional development</w:t>
      </w:r>
    </w:p>
    <w:p w14:paraId="596A523E" w14:textId="77777777" w:rsidR="00B81CCA" w:rsidRPr="00B81CCA" w:rsidRDefault="00B81CCA" w:rsidP="00B81CCA">
      <w:pPr>
        <w:pStyle w:val="ListParagraph"/>
        <w:spacing w:after="0" w:line="240" w:lineRule="auto"/>
        <w:ind w:left="1440"/>
        <w:rPr>
          <w:bCs/>
          <w:sz w:val="24"/>
          <w:szCs w:val="24"/>
        </w:rPr>
      </w:pPr>
    </w:p>
    <w:p w14:paraId="6A646C0C" w14:textId="77777777" w:rsidR="00544B6B" w:rsidRDefault="00544B6B" w:rsidP="00B81CCA">
      <w:pPr>
        <w:spacing w:after="0" w:line="240" w:lineRule="auto"/>
        <w:rPr>
          <w:sz w:val="24"/>
          <w:szCs w:val="24"/>
        </w:rPr>
      </w:pPr>
    </w:p>
    <w:p w14:paraId="62CC8911" w14:textId="77777777" w:rsidR="00544B6B" w:rsidRDefault="00544B6B" w:rsidP="00B81CCA">
      <w:pPr>
        <w:spacing w:after="0" w:line="240" w:lineRule="auto"/>
        <w:rPr>
          <w:sz w:val="24"/>
          <w:szCs w:val="24"/>
        </w:rPr>
      </w:pPr>
    </w:p>
    <w:p w14:paraId="5304B90B" w14:textId="29920B69" w:rsidR="00703B0B" w:rsidRPr="00B81CCA" w:rsidRDefault="00703B0B" w:rsidP="00B81CCA">
      <w:pPr>
        <w:spacing w:after="0" w:line="240" w:lineRule="auto"/>
        <w:rPr>
          <w:bCs/>
          <w:sz w:val="24"/>
          <w:szCs w:val="24"/>
        </w:rPr>
      </w:pPr>
      <w:r w:rsidRPr="00B81CCA">
        <w:rPr>
          <w:sz w:val="24"/>
          <w:szCs w:val="24"/>
        </w:rPr>
        <w:t>[</w:t>
      </w:r>
      <w:r w:rsidR="00544B6B">
        <w:rPr>
          <w:sz w:val="24"/>
          <w:szCs w:val="24"/>
        </w:rPr>
        <w:t xml:space="preserve">Programs should </w:t>
      </w:r>
      <w:r w:rsidRPr="00B81CCA">
        <w:rPr>
          <w:sz w:val="24"/>
          <w:szCs w:val="24"/>
        </w:rPr>
        <w:t xml:space="preserve">feel free to adapt this form and add any </w:t>
      </w:r>
      <w:r w:rsidR="00544B6B">
        <w:rPr>
          <w:sz w:val="24"/>
          <w:szCs w:val="24"/>
        </w:rPr>
        <w:t xml:space="preserve">relevant </w:t>
      </w:r>
      <w:r w:rsidRPr="00B81CCA">
        <w:rPr>
          <w:sz w:val="24"/>
          <w:szCs w:val="24"/>
        </w:rPr>
        <w:t>additional program specific information you plan to review annually]</w:t>
      </w:r>
    </w:p>
    <w:p w14:paraId="4578EFDE" w14:textId="77777777" w:rsidR="00544B6B" w:rsidRDefault="00544B6B" w:rsidP="00A15687">
      <w:pPr>
        <w:tabs>
          <w:tab w:val="left" w:pos="7965"/>
        </w:tabs>
        <w:rPr>
          <w:sz w:val="24"/>
          <w:szCs w:val="24"/>
        </w:rPr>
      </w:pPr>
    </w:p>
    <w:p w14:paraId="0CB3CEF0" w14:textId="4B96EF2A" w:rsidR="00483A37" w:rsidRPr="00176092" w:rsidRDefault="00EC553F" w:rsidP="00A15687">
      <w:pPr>
        <w:tabs>
          <w:tab w:val="left" w:pos="7965"/>
        </w:tabs>
        <w:rPr>
          <w:sz w:val="24"/>
          <w:szCs w:val="24"/>
        </w:rPr>
      </w:pPr>
      <w:r w:rsidRPr="00176092">
        <w:rPr>
          <w:sz w:val="24"/>
          <w:szCs w:val="24"/>
        </w:rPr>
        <w:t xml:space="preserve">For </w:t>
      </w:r>
      <w:r w:rsidR="00FA1392" w:rsidRPr="00176092">
        <w:rPr>
          <w:sz w:val="24"/>
          <w:szCs w:val="24"/>
        </w:rPr>
        <w:t xml:space="preserve">additional </w:t>
      </w:r>
      <w:r w:rsidR="00703B0B" w:rsidRPr="00176092">
        <w:rPr>
          <w:sz w:val="24"/>
          <w:szCs w:val="24"/>
        </w:rPr>
        <w:t>reference</w:t>
      </w:r>
      <w:r w:rsidR="00544B6B">
        <w:rPr>
          <w:sz w:val="24"/>
          <w:szCs w:val="24"/>
        </w:rPr>
        <w:t>s</w:t>
      </w:r>
      <w:r w:rsidR="00703B0B" w:rsidRPr="00176092">
        <w:rPr>
          <w:sz w:val="24"/>
          <w:szCs w:val="24"/>
        </w:rPr>
        <w:t xml:space="preserve"> see</w:t>
      </w:r>
      <w:r w:rsidRPr="00176092">
        <w:rPr>
          <w:sz w:val="24"/>
          <w:szCs w:val="24"/>
        </w:rPr>
        <w:t>:</w:t>
      </w:r>
    </w:p>
    <w:p w14:paraId="7CD52D03" w14:textId="3756A840" w:rsidR="00472FE9" w:rsidRPr="00176092" w:rsidRDefault="00544B6B" w:rsidP="00A15687">
      <w:pPr>
        <w:tabs>
          <w:tab w:val="left" w:pos="7965"/>
        </w:tabs>
        <w:rPr>
          <w:sz w:val="24"/>
          <w:szCs w:val="24"/>
        </w:rPr>
      </w:pPr>
      <w:hyperlink r:id="rId8" w:history="1">
        <w:r w:rsidR="00703B0B" w:rsidRPr="00176092">
          <w:rPr>
            <w:rStyle w:val="Hyperlink"/>
            <w:sz w:val="24"/>
            <w:szCs w:val="24"/>
          </w:rPr>
          <w:t>Residency Common Program Requirements</w:t>
        </w:r>
      </w:hyperlink>
    </w:p>
    <w:p w14:paraId="271BEC6F" w14:textId="69A12154" w:rsidR="008D2125" w:rsidRPr="00544B6B" w:rsidRDefault="00544B6B">
      <w:pPr>
        <w:tabs>
          <w:tab w:val="left" w:pos="7965"/>
        </w:tabs>
        <w:rPr>
          <w:sz w:val="24"/>
          <w:szCs w:val="24"/>
        </w:rPr>
      </w:pPr>
      <w:hyperlink r:id="rId9" w:history="1">
        <w:r w:rsidR="00472FE9" w:rsidRPr="00176092">
          <w:rPr>
            <w:rStyle w:val="Hyperlink"/>
            <w:sz w:val="24"/>
            <w:szCs w:val="24"/>
          </w:rPr>
          <w:t>Fellowship Common Program Requirements</w:t>
        </w:r>
      </w:hyperlink>
      <w:r w:rsidR="00472FE9" w:rsidRPr="00176092">
        <w:rPr>
          <w:sz w:val="24"/>
          <w:szCs w:val="24"/>
        </w:rPr>
        <w:t xml:space="preserve"> </w:t>
      </w:r>
    </w:p>
    <w:sectPr w:rsidR="008D2125" w:rsidRPr="00544B6B" w:rsidSect="003F304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B9AE" w14:textId="77777777" w:rsidR="0080227A" w:rsidRDefault="0080227A" w:rsidP="00D108AD">
      <w:pPr>
        <w:spacing w:after="0" w:line="240" w:lineRule="auto"/>
      </w:pPr>
      <w:r>
        <w:separator/>
      </w:r>
    </w:p>
  </w:endnote>
  <w:endnote w:type="continuationSeparator" w:id="0">
    <w:p w14:paraId="4A8D1B3C" w14:textId="77777777" w:rsidR="0080227A" w:rsidRDefault="0080227A" w:rsidP="00D1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6453" w14:textId="659CFDB4" w:rsidR="00D108AD" w:rsidRDefault="00D108AD">
    <w:pPr>
      <w:pStyle w:val="Footer"/>
    </w:pPr>
    <w:r>
      <w:t>BIDMC Graduate Medi</w:t>
    </w:r>
    <w:r w:rsidR="00A440F2">
      <w:t>cal Education</w:t>
    </w:r>
    <w:r w:rsidR="00A440F2">
      <w:tab/>
    </w:r>
    <w:r w:rsidR="00A440F2">
      <w:tab/>
      <w:t xml:space="preserve">Last Update: </w:t>
    </w:r>
    <w:r w:rsidR="00A15687">
      <w:t>10</w:t>
    </w:r>
    <w:r w:rsidR="00A440F2">
      <w:t>/</w:t>
    </w:r>
    <w:r w:rsidR="00B052A3">
      <w:t>21</w:t>
    </w:r>
    <w:r>
      <w:t>/2</w:t>
    </w:r>
    <w:r w:rsidR="00A1568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F7AB" w14:textId="77777777" w:rsidR="0080227A" w:rsidRDefault="0080227A" w:rsidP="00D108AD">
      <w:pPr>
        <w:spacing w:after="0" w:line="240" w:lineRule="auto"/>
      </w:pPr>
      <w:r>
        <w:separator/>
      </w:r>
    </w:p>
  </w:footnote>
  <w:footnote w:type="continuationSeparator" w:id="0">
    <w:p w14:paraId="77569106" w14:textId="77777777" w:rsidR="0080227A" w:rsidRDefault="0080227A" w:rsidP="00D10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7051"/>
    <w:multiLevelType w:val="hybridMultilevel"/>
    <w:tmpl w:val="2B80339A"/>
    <w:lvl w:ilvl="0" w:tplc="DB085D0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5088"/>
    <w:multiLevelType w:val="hybridMultilevel"/>
    <w:tmpl w:val="520E5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2740D"/>
    <w:multiLevelType w:val="hybridMultilevel"/>
    <w:tmpl w:val="E6222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7A3"/>
    <w:multiLevelType w:val="hybridMultilevel"/>
    <w:tmpl w:val="CAB05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15DA0"/>
    <w:multiLevelType w:val="hybridMultilevel"/>
    <w:tmpl w:val="3210ECC2"/>
    <w:lvl w:ilvl="0" w:tplc="DB085D0A">
      <w:start w:val="1"/>
      <w:numFmt w:val="bullet"/>
      <w:lvlText w:val="o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44711FD"/>
    <w:multiLevelType w:val="hybridMultilevel"/>
    <w:tmpl w:val="0F0EF9F6"/>
    <w:lvl w:ilvl="0" w:tplc="DB085D0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961CDA"/>
    <w:multiLevelType w:val="hybridMultilevel"/>
    <w:tmpl w:val="417219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D7D51"/>
    <w:multiLevelType w:val="hybridMultilevel"/>
    <w:tmpl w:val="C394B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00297"/>
    <w:multiLevelType w:val="hybridMultilevel"/>
    <w:tmpl w:val="8068A756"/>
    <w:lvl w:ilvl="0" w:tplc="DB085D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07B01"/>
    <w:multiLevelType w:val="hybridMultilevel"/>
    <w:tmpl w:val="5416348C"/>
    <w:lvl w:ilvl="0" w:tplc="DB085D0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232C1"/>
    <w:multiLevelType w:val="hybridMultilevel"/>
    <w:tmpl w:val="C292FBF4"/>
    <w:lvl w:ilvl="0" w:tplc="DB085D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93ABD"/>
    <w:multiLevelType w:val="hybridMultilevel"/>
    <w:tmpl w:val="4DFADEA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E62F3"/>
    <w:multiLevelType w:val="hybridMultilevel"/>
    <w:tmpl w:val="BA780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1205E"/>
    <w:multiLevelType w:val="hybridMultilevel"/>
    <w:tmpl w:val="D3749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2908B1"/>
    <w:multiLevelType w:val="hybridMultilevel"/>
    <w:tmpl w:val="191C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C5B2C"/>
    <w:multiLevelType w:val="hybridMultilevel"/>
    <w:tmpl w:val="E0222F44"/>
    <w:lvl w:ilvl="0" w:tplc="44A830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61674"/>
    <w:multiLevelType w:val="hybridMultilevel"/>
    <w:tmpl w:val="A2ECD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45DAF"/>
    <w:multiLevelType w:val="hybridMultilevel"/>
    <w:tmpl w:val="A0EE67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62700E"/>
    <w:multiLevelType w:val="hybridMultilevel"/>
    <w:tmpl w:val="88FA787C"/>
    <w:lvl w:ilvl="0" w:tplc="DB085D0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767623"/>
    <w:multiLevelType w:val="hybridMultilevel"/>
    <w:tmpl w:val="D53CE212"/>
    <w:lvl w:ilvl="0" w:tplc="FB42CC28">
      <w:start w:val="2"/>
      <w:numFmt w:val="decimal"/>
      <w:lvlText w:val="%1."/>
      <w:lvlJc w:val="left"/>
      <w:pPr>
        <w:ind w:left="2070" w:hanging="360"/>
      </w:pPr>
      <w:rPr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ABACC80">
      <w:start w:val="1"/>
      <w:numFmt w:val="bullet"/>
      <w:lvlText w:val="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15"/>
  </w:num>
  <w:num w:numId="5">
    <w:abstractNumId w:val="13"/>
  </w:num>
  <w:num w:numId="6">
    <w:abstractNumId w:val="17"/>
  </w:num>
  <w:num w:numId="7">
    <w:abstractNumId w:val="3"/>
  </w:num>
  <w:num w:numId="8">
    <w:abstractNumId w:val="1"/>
  </w:num>
  <w:num w:numId="9">
    <w:abstractNumId w:val="2"/>
  </w:num>
  <w:num w:numId="10">
    <w:abstractNumId w:val="6"/>
  </w:num>
  <w:num w:numId="11">
    <w:abstractNumId w:val="12"/>
  </w:num>
  <w:num w:numId="12">
    <w:abstractNumId w:val="14"/>
  </w:num>
  <w:num w:numId="13">
    <w:abstractNumId w:val="10"/>
  </w:num>
  <w:num w:numId="14">
    <w:abstractNumId w:val="4"/>
  </w:num>
  <w:num w:numId="15">
    <w:abstractNumId w:val="11"/>
  </w:num>
  <w:num w:numId="16">
    <w:abstractNumId w:val="9"/>
  </w:num>
  <w:num w:numId="17">
    <w:abstractNumId w:val="0"/>
  </w:num>
  <w:num w:numId="18">
    <w:abstractNumId w:val="19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B0"/>
    <w:rsid w:val="000128F8"/>
    <w:rsid w:val="00061C52"/>
    <w:rsid w:val="000841D2"/>
    <w:rsid w:val="00091A04"/>
    <w:rsid w:val="001347DA"/>
    <w:rsid w:val="00176092"/>
    <w:rsid w:val="00186CFD"/>
    <w:rsid w:val="001D122D"/>
    <w:rsid w:val="001D4303"/>
    <w:rsid w:val="001E5770"/>
    <w:rsid w:val="002069D1"/>
    <w:rsid w:val="00233E8C"/>
    <w:rsid w:val="002458C6"/>
    <w:rsid w:val="002641A2"/>
    <w:rsid w:val="0027609F"/>
    <w:rsid w:val="00282300"/>
    <w:rsid w:val="00301832"/>
    <w:rsid w:val="0030429F"/>
    <w:rsid w:val="00304AB8"/>
    <w:rsid w:val="00307D1C"/>
    <w:rsid w:val="00314631"/>
    <w:rsid w:val="00353D6B"/>
    <w:rsid w:val="00372683"/>
    <w:rsid w:val="003824B9"/>
    <w:rsid w:val="00397181"/>
    <w:rsid w:val="003A6737"/>
    <w:rsid w:val="003F304C"/>
    <w:rsid w:val="004056E4"/>
    <w:rsid w:val="00426931"/>
    <w:rsid w:val="00472FE9"/>
    <w:rsid w:val="00483A37"/>
    <w:rsid w:val="004E0F0D"/>
    <w:rsid w:val="00544B6B"/>
    <w:rsid w:val="005679AA"/>
    <w:rsid w:val="00582D2D"/>
    <w:rsid w:val="00594724"/>
    <w:rsid w:val="00597D96"/>
    <w:rsid w:val="00616DF4"/>
    <w:rsid w:val="0067746E"/>
    <w:rsid w:val="0068082C"/>
    <w:rsid w:val="0068275E"/>
    <w:rsid w:val="00697041"/>
    <w:rsid w:val="006D2BCB"/>
    <w:rsid w:val="007005B3"/>
    <w:rsid w:val="007030A5"/>
    <w:rsid w:val="00703B0B"/>
    <w:rsid w:val="00737884"/>
    <w:rsid w:val="00762938"/>
    <w:rsid w:val="00776A1D"/>
    <w:rsid w:val="0080227A"/>
    <w:rsid w:val="00807724"/>
    <w:rsid w:val="00816FE6"/>
    <w:rsid w:val="008403CB"/>
    <w:rsid w:val="008B246F"/>
    <w:rsid w:val="008D2125"/>
    <w:rsid w:val="008D3444"/>
    <w:rsid w:val="008E58DC"/>
    <w:rsid w:val="009659AB"/>
    <w:rsid w:val="00974BB3"/>
    <w:rsid w:val="009A582F"/>
    <w:rsid w:val="009A5D65"/>
    <w:rsid w:val="009E5E31"/>
    <w:rsid w:val="009F2F1F"/>
    <w:rsid w:val="009F557E"/>
    <w:rsid w:val="00A15687"/>
    <w:rsid w:val="00A440F2"/>
    <w:rsid w:val="00A71925"/>
    <w:rsid w:val="00B052A3"/>
    <w:rsid w:val="00B53573"/>
    <w:rsid w:val="00B81CCA"/>
    <w:rsid w:val="00C011FF"/>
    <w:rsid w:val="00C142C2"/>
    <w:rsid w:val="00C210A9"/>
    <w:rsid w:val="00C27EB0"/>
    <w:rsid w:val="00C428F9"/>
    <w:rsid w:val="00C82535"/>
    <w:rsid w:val="00CA4AB4"/>
    <w:rsid w:val="00D108AD"/>
    <w:rsid w:val="00D22875"/>
    <w:rsid w:val="00D234EB"/>
    <w:rsid w:val="00D3015C"/>
    <w:rsid w:val="00D34CAE"/>
    <w:rsid w:val="00D95D64"/>
    <w:rsid w:val="00E166C3"/>
    <w:rsid w:val="00EC553F"/>
    <w:rsid w:val="00ED36E3"/>
    <w:rsid w:val="00F134C9"/>
    <w:rsid w:val="00F2556D"/>
    <w:rsid w:val="00F45F17"/>
    <w:rsid w:val="00FA1392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990F9"/>
  <w15:docId w15:val="{1F38C79D-FB1E-4A71-A5EF-2D769988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6A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1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8AD"/>
  </w:style>
  <w:style w:type="paragraph" w:styleId="Footer">
    <w:name w:val="footer"/>
    <w:basedOn w:val="Normal"/>
    <w:link w:val="FooterChar"/>
    <w:uiPriority w:val="99"/>
    <w:unhideWhenUsed/>
    <w:rsid w:val="00D10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8AD"/>
  </w:style>
  <w:style w:type="paragraph" w:styleId="Title">
    <w:name w:val="Title"/>
    <w:basedOn w:val="Normal"/>
    <w:next w:val="Normal"/>
    <w:link w:val="TitleChar"/>
    <w:uiPriority w:val="10"/>
    <w:qFormat/>
    <w:rsid w:val="00D228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1D12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2F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F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2F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gme.org/globalassets/pfassets/programrequirements/2025-reformatted-requirements/cprresidency_2025_reformatte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cgme.org/globalassets/pfassets/programrequirements/2025-reformatted-requirements/cprfellowship_2025_reformatt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13DA8-72F1-4ECC-8E44-3D49D7EB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BIDMC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Tess,Anjala</dc:creator>
  <cp:lastModifiedBy>Dubois, Laurie (BIDMC - Medical Education)</cp:lastModifiedBy>
  <cp:revision>6</cp:revision>
  <cp:lastPrinted>2024-11-01T14:09:00Z</cp:lastPrinted>
  <dcterms:created xsi:type="dcterms:W3CDTF">2025-10-15T17:07:00Z</dcterms:created>
  <dcterms:modified xsi:type="dcterms:W3CDTF">2025-10-21T14:27:00Z</dcterms:modified>
</cp:coreProperties>
</file>